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29" w:rsidRDefault="00CF380A" w:rsidP="003E1198">
      <w:pPr>
        <w:spacing w:after="80" w:line="276" w:lineRule="auto"/>
        <w:jc w:val="both"/>
      </w:pPr>
      <w:r>
        <w:rPr>
          <w:b/>
          <w:bCs/>
          <w:color w:val="1B3A5C"/>
          <w:sz w:val="36"/>
          <w:szCs w:val="36"/>
        </w:rPr>
        <w:t>ÎNTREBĂRI PRIVIND GUVERNANȚA CORPORATIVĂ</w:t>
      </w:r>
    </w:p>
    <w:p w:rsidR="00011129" w:rsidRDefault="00CF380A" w:rsidP="003E1198">
      <w:pPr>
        <w:spacing w:after="80" w:line="276" w:lineRule="auto"/>
        <w:jc w:val="both"/>
      </w:pPr>
      <w:r>
        <w:rPr>
          <w:b/>
          <w:bCs/>
          <w:color w:val="2E75B6"/>
          <w:sz w:val="30"/>
          <w:szCs w:val="30"/>
        </w:rPr>
        <w:t>SIMTEL TEAM S.A. (BVB: SMTL)</w:t>
      </w:r>
    </w:p>
    <w:p w:rsidR="00011129" w:rsidRPr="00345B24" w:rsidRDefault="00CF380A" w:rsidP="003E1198">
      <w:pPr>
        <w:spacing w:after="80" w:line="276" w:lineRule="auto"/>
        <w:jc w:val="both"/>
        <w:rPr>
          <w:lang w:val="fr-BE"/>
        </w:rPr>
      </w:pPr>
      <w:r>
        <w:rPr>
          <w:lang w:val="fr-BE"/>
        </w:rPr>
        <w:t>Adresate domnului Iulian Nedea — Președinte al Consiliului de Administrație</w:t>
      </w:r>
    </w:p>
    <w:p w:rsidR="00011129" w:rsidRDefault="00CF380A" w:rsidP="003E1198">
      <w:pPr>
        <w:spacing w:after="200" w:line="276" w:lineRule="auto"/>
        <w:jc w:val="both"/>
      </w:pPr>
      <w:r>
        <w:rPr>
          <w:i/>
          <w:iCs/>
          <w:color w:val="666666"/>
          <w:sz w:val="20"/>
          <w:szCs w:val="20"/>
        </w:rPr>
        <w:t>În urma conferinței cu investitorii din 26 februarie 2026</w:t>
      </w:r>
    </w:p>
    <w:p w:rsidR="00011129" w:rsidRDefault="00CF380A" w:rsidP="003E1198">
      <w:pPr>
        <w:pBdr>
          <w:bottom w:val="single" w:sz="6" w:space="8" w:color="2E75B6"/>
        </w:pBdr>
        <w:spacing w:after="80"/>
        <w:jc w:val="both"/>
      </w:pPr>
      <w:r>
        <w:rPr>
          <w:b/>
          <w:bCs/>
          <w:sz w:val="20"/>
          <w:szCs w:val="20"/>
        </w:rPr>
        <w:t>27 februarie 2026</w:t>
      </w:r>
    </w:p>
    <w:p w:rsidR="00011129" w:rsidRDefault="00CF380A" w:rsidP="003E1198">
      <w:pPr>
        <w:spacing w:before="360" w:after="160" w:line="276" w:lineRule="auto"/>
        <w:jc w:val="both"/>
      </w:pPr>
      <w:r>
        <w:rPr>
          <w:b/>
          <w:bCs/>
          <w:color w:val="1B3A5C"/>
          <w:sz w:val="24"/>
          <w:szCs w:val="24"/>
        </w:rPr>
        <w:t>PREAMBUL</w:t>
      </w:r>
    </w:p>
    <w:p w:rsidR="00011129" w:rsidRDefault="00CF380A" w:rsidP="003E1198">
      <w:pPr>
        <w:spacing w:after="100" w:line="276" w:lineRule="auto"/>
        <w:jc w:val="both"/>
      </w:pPr>
      <w:r>
        <w:t xml:space="preserve">Prezentul document conține o serie de întrebări adresate conducerii Simtel Team S.A. în urma publicării </w:t>
      </w:r>
      <w:hyperlink r:id="rId8" w:history="1">
        <w:r>
          <w:rPr>
            <w:rStyle w:val="Hyperlink"/>
          </w:rPr>
          <w:t>rezultatelor financiare preliminare consolidate pe anul 2025</w:t>
        </w:r>
      </w:hyperlink>
      <w:r>
        <w:t xml:space="preserve"> (Raport curent SMTL 06/2026, BVB, 25 februarie 2026) și a conferinței cu investitorii din 26 februarie 2026.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lang w:val="fr-BE"/>
        </w:rPr>
        <w:t xml:space="preserve">Întrebările sunt construite pe principiul prezumției de bună-credință și pornesc de la fapte verificabile și de la cadrul legal aplicabil - în principal </w:t>
      </w:r>
      <w:hyperlink r:id="rId9" w:history="1">
        <w:r>
          <w:rPr>
            <w:rStyle w:val="Hyperlink"/>
            <w:lang w:val="fr-BE"/>
          </w:rPr>
          <w:t>Regulamentul (</w:t>
        </w:r>
        <w:bookmarkStart w:id="0" w:name="_GoBack"/>
        <w:bookmarkEnd w:id="0"/>
        <w:r>
          <w:rPr>
            <w:rStyle w:val="Hyperlink"/>
            <w:lang w:val="fr-BE"/>
          </w:rPr>
          <w:t>U</w:t>
        </w:r>
        <w:r>
          <w:rPr>
            <w:rStyle w:val="Hyperlink"/>
            <w:lang w:val="fr-BE"/>
          </w:rPr>
          <w:t>E</w:t>
        </w:r>
        <w:r>
          <w:rPr>
            <w:rStyle w:val="Hyperlink"/>
            <w:lang w:val="fr-BE"/>
          </w:rPr>
          <w:t>)</w:t>
        </w:r>
        <w:r>
          <w:rPr>
            <w:rStyle w:val="Hyperlink"/>
            <w:lang w:val="fr-BE"/>
          </w:rPr>
          <w:t xml:space="preserve"> nr. 596/2014 privind abuzul de piață (MAR)</w:t>
        </w:r>
      </w:hyperlink>
      <w:r>
        <w:rPr>
          <w:lang w:val="fr-BE"/>
        </w:rPr>
        <w:t xml:space="preserve">, cu aplicabilitate directă pe Bursa de Valori București, și </w:t>
      </w:r>
      <w:hyperlink r:id="rId10" w:history="1">
        <w:r>
          <w:rPr>
            <w:rStyle w:val="Hyperlink"/>
            <w:lang w:val="fr-BE"/>
          </w:rPr>
          <w:t>Legea nr. 24/2017 privind emitenții de instrumente fin</w:t>
        </w:r>
        <w:r>
          <w:rPr>
            <w:rStyle w:val="Hyperlink"/>
            <w:lang w:val="fr-BE"/>
          </w:rPr>
          <w:t>a</w:t>
        </w:r>
        <w:r>
          <w:rPr>
            <w:rStyle w:val="Hyperlink"/>
            <w:lang w:val="fr-BE"/>
          </w:rPr>
          <w:t>nciare</w:t>
        </w:r>
      </w:hyperlink>
      <w:r>
        <w:rPr>
          <w:lang w:val="fr-BE"/>
        </w:rPr>
        <w:t>, care transpune cadrul de sancționare la nivel național, cu competență ASF.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lang w:val="fr-BE"/>
        </w:rPr>
        <w:t>Întrebările au fost formulate în urma conferinței cu investitorii din 26 februarie 2026, la care o serie de întrebări pe teme de guvernanță corporativă nu au fost preluate sau au fost distorsionate. Dl. Iulian Nedea a acceptat să primească aceste întrebări în scris, pentru a oferi răspunsuri într-un cadru public.</w:t>
      </w:r>
    </w:p>
    <w:p w:rsidR="00011129" w:rsidRPr="00345B24" w:rsidRDefault="00CF380A" w:rsidP="003E1198">
      <w:pPr>
        <w:pBdr>
          <w:bottom w:val="single" w:sz="4" w:space="6" w:color="2E75B6"/>
        </w:pBdr>
        <w:spacing w:before="360" w:after="160"/>
        <w:jc w:val="both"/>
        <w:rPr>
          <w:lang w:val="fr-BE"/>
        </w:rPr>
      </w:pPr>
      <w:r>
        <w:rPr>
          <w:b/>
          <w:bCs/>
          <w:color w:val="1B3A5C"/>
          <w:sz w:val="26"/>
          <w:szCs w:val="26"/>
          <w:lang w:val="fr-BE"/>
        </w:rPr>
        <w:t>1. MOMENTUL CONȘTIENTIZĂRII - BVC vs. REALITATE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Context factual: </w:t>
      </w:r>
      <w:r>
        <w:rPr>
          <w:lang w:val="fr-BE"/>
        </w:rPr>
        <w:t xml:space="preserve">La data de 12 noiembrie 2025, în emisiunea </w:t>
      </w:r>
      <w:hyperlink r:id="rId11" w:history="1">
        <w:r>
          <w:rPr>
            <w:rStyle w:val="Hyperlink"/>
            <w:lang w:val="fr-BE"/>
          </w:rPr>
          <w:t>Feel The Markets</w:t>
        </w:r>
      </w:hyperlink>
      <w:r>
        <w:rPr>
          <w:lang w:val="fr-BE"/>
        </w:rPr>
        <w:t xml:space="preserve"> (la care au participat CEO-ul Mihai Tudor, Președintele CA Iulian Nedea și membrul CA Sergiu Bazarciuc), CEO-ul a declarat public că: "</w:t>
      </w:r>
      <w:r>
        <w:rPr>
          <w:i/>
          <w:lang w:val="fr-BE"/>
        </w:rPr>
        <w:t>din punct de vedere cifra de afaceri suntem optimiști [...] vom atinge cifra de afaceri din BVC. Legat de marginea operațională de EBITDA, acolo estimăm o ușoară diminuare cu 1-2 puncte procentuale.</w:t>
      </w:r>
      <w:r>
        <w:rPr>
          <w:lang w:val="fr-BE"/>
        </w:rPr>
        <w:t xml:space="preserve">" (min 15:20-15:50). La acel moment, profitul net cumulat pe 9 luni era de 2,7 mil. lei - adică 5,9% din ținta anuală de 45,6 mil. lei stabilită prin </w:t>
      </w:r>
      <w:hyperlink r:id="rId12" w:history="1">
        <w:r>
          <w:rPr>
            <w:rStyle w:val="Hyperlink"/>
            <w:lang w:val="fr-BE"/>
          </w:rPr>
          <w:t>BVC 2025</w:t>
        </w:r>
      </w:hyperlink>
      <w:r>
        <w:rPr>
          <w:lang w:val="fr-BE"/>
        </w:rPr>
        <w:t xml:space="preserve">. </w:t>
      </w:r>
      <w:r>
        <w:rPr>
          <w:b/>
          <w:lang w:val="fr-BE"/>
        </w:rPr>
        <w:t>Rezultatul final pe 2025</w:t>
      </w:r>
      <w:r>
        <w:rPr>
          <w:lang w:val="fr-BE"/>
        </w:rPr>
        <w:t xml:space="preserve"> a fost de </w:t>
      </w:r>
      <w:r>
        <w:rPr>
          <w:b/>
          <w:lang w:val="fr-BE"/>
        </w:rPr>
        <w:t>8,86 mil. lei</w:t>
      </w:r>
      <w:r>
        <w:rPr>
          <w:lang w:val="fr-BE"/>
        </w:rPr>
        <w:t xml:space="preserve"> (19,4% din BVC), o </w:t>
      </w:r>
      <w:r>
        <w:rPr>
          <w:b/>
          <w:lang w:val="fr-BE"/>
        </w:rPr>
        <w:t>deviație de aproximativ -80%</w:t>
      </w:r>
      <w:r>
        <w:rPr>
          <w:lang w:val="fr-BE"/>
        </w:rPr>
        <w:t>.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Cadrul legal: </w:t>
      </w:r>
      <w:r>
        <w:rPr>
          <w:lang w:val="fr-BE"/>
        </w:rPr>
        <w:t xml:space="preserve">Conform Art. 7(1)(a) din Regulamentul MAR, </w:t>
      </w:r>
      <w:r>
        <w:rPr>
          <w:b/>
          <w:lang w:val="fr-BE"/>
        </w:rPr>
        <w:t>informația privilegiată</w:t>
      </w:r>
      <w:r>
        <w:rPr>
          <w:lang w:val="fr-BE"/>
        </w:rPr>
        <w:t xml:space="preserve"> este definită ca </w:t>
      </w:r>
      <w:r>
        <w:rPr>
          <w:b/>
          <w:i/>
          <w:lang w:val="fr-BE"/>
        </w:rPr>
        <w:t>informație de natură precisă, care nu a fost făcută publică, referitoare la un emitent, și care, dacă ar fi făcută publică, ar putea avea un efect semnificativ asupra prețului instrumentelor financiare</w:t>
      </w:r>
      <w:r>
        <w:rPr>
          <w:lang w:val="fr-BE"/>
        </w:rPr>
        <w:t xml:space="preserve">. Art. 7(2) MAR precizează că informația are </w:t>
      </w:r>
      <w:r>
        <w:rPr>
          <w:b/>
          <w:lang w:val="fr-BE"/>
        </w:rPr>
        <w:t>caracter precis</w:t>
      </w:r>
      <w:r>
        <w:rPr>
          <w:lang w:val="fr-BE"/>
        </w:rPr>
        <w:t xml:space="preserve"> dacă este </w:t>
      </w:r>
      <w:r>
        <w:rPr>
          <w:b/>
          <w:lang w:val="fr-BE"/>
        </w:rPr>
        <w:t>suficient de specifică pentru a permite formularea unei concluzii cu privire la efectul posibil asupra prețului</w:t>
      </w:r>
      <w:r>
        <w:rPr>
          <w:lang w:val="fr-BE"/>
        </w:rPr>
        <w:t xml:space="preserve">. </w:t>
      </w:r>
      <w:r>
        <w:rPr>
          <w:b/>
          <w:lang w:val="fr-BE"/>
        </w:rPr>
        <w:t>O deviație de -80% față de BVC-ul comunicat pieței îndeplinește fără echivoc aceste criterii</w:t>
      </w:r>
      <w:r>
        <w:rPr>
          <w:lang w:val="fr-BE"/>
        </w:rPr>
        <w:t>.</w:t>
      </w:r>
    </w:p>
    <w:p w:rsidR="00011129" w:rsidRPr="00345B24" w:rsidRDefault="00CF380A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>În ce moment al anului 2025 a realizat managementul că bugetul de profit nu mai poate fi atins? Ce date interne - forecasting lunar, situații de gestiune, pipeline de facturare - existau la 12 noiembrie, când toți trei membrii fondatori erau prezenți la emisiunea „</w:t>
      </w:r>
      <w:r>
        <w:rPr>
          <w:b/>
          <w:lang w:val="fr-BE"/>
        </w:rPr>
        <w:t>Feel The Markets</w:t>
      </w:r>
      <w:r>
        <w:rPr>
          <w:lang w:val="fr-BE"/>
        </w:rPr>
        <w:t>”, și care au stat la baza declarației cuantificate de „</w:t>
      </w:r>
      <w:r>
        <w:rPr>
          <w:b/>
          <w:i/>
          <w:lang w:val="fr-BE"/>
        </w:rPr>
        <w:t>ajustare de 1-2pp</w:t>
      </w:r>
      <w:r>
        <w:rPr>
          <w:lang w:val="fr-BE"/>
        </w:rPr>
        <w:t>”? Cum se reconciliază acea cuantificare cu un rezultat final de 8,86 mil. lei, care implică o marjă reală sub 5%, nu 10,7-11,7% cum sugera declarația?</w:t>
      </w:r>
    </w:p>
    <w:p w:rsidR="00011129" w:rsidRDefault="003E1198" w:rsidP="003E1198">
      <w:pPr>
        <w:pBdr>
          <w:bottom w:val="single" w:sz="4" w:space="6" w:color="2E75B6"/>
        </w:pBdr>
        <w:spacing w:before="360" w:after="160"/>
        <w:jc w:val="both"/>
      </w:pPr>
      <w:r>
        <w:rPr>
          <w:b/>
          <w:bCs/>
          <w:color w:val="1B3A5C"/>
          <w:sz w:val="26"/>
          <w:szCs w:val="26"/>
        </w:rPr>
        <w:lastRenderedPageBreak/>
        <w:t>2. ABSENȚA PROFIT WARNING-ULUI - OBLIGAȚIE LEGALĂ, NU OPȚIUNE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Context factual: </w:t>
      </w:r>
      <w:r>
        <w:rPr>
          <w:lang w:val="fr-BE"/>
        </w:rPr>
        <w:t xml:space="preserve">Pe parcursul întregului an 2025, Simtel nu a emis niciun profit warning formal, deși deviația profitului net față de BVC a fost de aproximativ -80%. La </w:t>
      </w:r>
      <w:hyperlink r:id="rId13" w:history="1">
        <w:r>
          <w:rPr>
            <w:rStyle w:val="Hyperlink"/>
            <w:lang w:val="fr-BE"/>
          </w:rPr>
          <w:t>S1 2025</w:t>
        </w:r>
      </w:hyperlink>
      <w:r>
        <w:rPr>
          <w:lang w:val="fr-BE"/>
        </w:rPr>
        <w:t xml:space="preserve">, realizarea profitului era de 5,3% din țintă (2,4 mil. lei din 45,6 mil.). La </w:t>
      </w:r>
      <w:r>
        <w:rPr>
          <w:b/>
          <w:lang w:val="fr-BE"/>
        </w:rPr>
        <w:t>9M 2025</w:t>
      </w:r>
      <w:r>
        <w:rPr>
          <w:lang w:val="fr-BE"/>
        </w:rPr>
        <w:t>, era de 5,9% (2,7 mil. lei din 45,6 mil.).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Cadrul legal: </w:t>
      </w:r>
      <w:r>
        <w:rPr>
          <w:b/>
          <w:lang w:val="fr-BE"/>
        </w:rPr>
        <w:t>Art. 17(1) MAR</w:t>
      </w:r>
      <w:r>
        <w:rPr>
          <w:lang w:val="fr-BE"/>
        </w:rPr>
        <w:t xml:space="preserve"> obligă emitentul să informeze publicul „</w:t>
      </w:r>
      <w:r>
        <w:rPr>
          <w:b/>
          <w:i/>
          <w:lang w:val="fr-BE"/>
        </w:rPr>
        <w:t>cât mai curând posibil</w:t>
      </w:r>
      <w:r>
        <w:rPr>
          <w:lang w:val="fr-BE"/>
        </w:rPr>
        <w:t xml:space="preserve">” despre orice informație privilegiată care îl privește direct. </w:t>
      </w:r>
      <w:r>
        <w:rPr>
          <w:b/>
          <w:lang w:val="fr-BE"/>
        </w:rPr>
        <w:t>ESMA</w:t>
      </w:r>
      <w:r>
        <w:rPr>
          <w:lang w:val="fr-BE"/>
        </w:rPr>
        <w:t xml:space="preserve"> clarifică explicit (</w:t>
      </w:r>
      <w:hyperlink r:id="rId14" w:history="1">
        <w:r>
          <w:rPr>
            <w:rStyle w:val="Hyperlink"/>
            <w:lang w:val="fr-BE"/>
          </w:rPr>
          <w:t>Raportul Final ESMA din mai 2025 privind modificările MAR</w:t>
        </w:r>
      </w:hyperlink>
      <w:r>
        <w:rPr>
          <w:lang w:val="fr-BE"/>
        </w:rPr>
        <w:t xml:space="preserve">) că, </w:t>
      </w:r>
      <w:r>
        <w:rPr>
          <w:b/>
          <w:i/>
          <w:lang w:val="fr-BE"/>
        </w:rPr>
        <w:t>dacă un emitent identifică informație privilegiată în timp ce pregătește rapoarte periodice, obligația de publicare nu este amânată de calendarul raportării</w:t>
      </w:r>
      <w:r>
        <w:rPr>
          <w:lang w:val="fr-BE"/>
        </w:rPr>
        <w:t>. ESMA include explicit în lista situațiilor relevante: „</w:t>
      </w:r>
      <w:r>
        <w:rPr>
          <w:b/>
          <w:i/>
          <w:lang w:val="fr-BE"/>
        </w:rPr>
        <w:t>o schimbare materială a rezultatelor financiare previzionate sau a obiectivelor de business comunicate anterior de emitent (de exemplu, profit warnings sau earnings surprises)</w:t>
      </w:r>
      <w:r>
        <w:rPr>
          <w:lang w:val="fr-BE"/>
        </w:rPr>
        <w:t>”.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lang w:val="fr-BE"/>
        </w:rPr>
        <w:t xml:space="preserve">Cu alte cuvinte, termenul pentru publicarea unui profit warning nu este momentul raportului financiar următor, ci </w:t>
      </w:r>
      <w:r>
        <w:rPr>
          <w:b/>
          <w:i/>
          <w:lang w:val="fr-BE"/>
        </w:rPr>
        <w:t>momentul în care informația despre deviație devine suficient de precisă și de natură să afecteze prețul</w:t>
      </w:r>
      <w:r>
        <w:rPr>
          <w:lang w:val="fr-BE"/>
        </w:rPr>
        <w:t xml:space="preserve"> - de atunci obligația este „</w:t>
      </w:r>
      <w:r>
        <w:rPr>
          <w:b/>
          <w:i/>
          <w:lang w:val="fr-BE"/>
        </w:rPr>
        <w:t>cât mai curând posibil</w:t>
      </w:r>
      <w:r>
        <w:rPr>
          <w:lang w:val="fr-BE"/>
        </w:rPr>
        <w:t>” (conform Art. 17(1) MAR). Simtel era obligată și putea să comunice această informație privilegiată oricând până pe 25 februarie 2026.</w:t>
      </w:r>
    </w:p>
    <w:p w:rsidR="00011129" w:rsidRPr="00345B24" w:rsidRDefault="00CF380A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 xml:space="preserve">De ce nu a fost emis un profit warning formal la niciun moment al anului 2025 - nici la S1, nici la 9M, nici în perioada </w:t>
      </w:r>
      <w:r>
        <w:rPr>
          <w:b/>
          <w:lang w:val="fr-BE"/>
        </w:rPr>
        <w:t>noiembrie 2025</w:t>
      </w:r>
      <w:r>
        <w:rPr>
          <w:lang w:val="fr-BE"/>
        </w:rPr>
        <w:t xml:space="preserve"> - </w:t>
      </w:r>
      <w:r>
        <w:rPr>
          <w:b/>
          <w:lang w:val="fr-BE"/>
        </w:rPr>
        <w:t>februarie 2026</w:t>
      </w:r>
      <w:r>
        <w:rPr>
          <w:lang w:val="fr-BE"/>
        </w:rPr>
        <w:t>? A existat o analiză juridică internă sau o decizie explicită a Consiliului de Administrație de a nu emite un astfel de avertisment? Dacă da, care au fost argumentele, și cine a luat decizia?</w:t>
      </w:r>
    </w:p>
    <w:p w:rsidR="00011129" w:rsidRPr="00345B24" w:rsidRDefault="00CF380A" w:rsidP="003E1198">
      <w:pPr>
        <w:pBdr>
          <w:bottom w:val="single" w:sz="4" w:space="6" w:color="2E75B6"/>
        </w:pBdr>
        <w:spacing w:before="360" w:after="160"/>
        <w:jc w:val="both"/>
        <w:rPr>
          <w:lang w:val="fr-BE"/>
        </w:rPr>
      </w:pPr>
      <w:r>
        <w:rPr>
          <w:b/>
          <w:bCs/>
          <w:color w:val="1B3A5C"/>
          <w:sz w:val="26"/>
          <w:szCs w:val="26"/>
          <w:lang w:val="fr-BE"/>
        </w:rPr>
        <w:t>3. DECLARAȚIA CUANTIFICATĂ DIN 12 NOIEMBRIE 2025 — INFORMARE SAU DEZINFORMARE?</w:t>
      </w:r>
    </w:p>
    <w:p w:rsidR="00011129" w:rsidRDefault="00CF380A" w:rsidP="003E1198">
      <w:pPr>
        <w:spacing w:after="100" w:line="276" w:lineRule="auto"/>
        <w:jc w:val="both"/>
      </w:pPr>
      <w:r>
        <w:rPr>
          <w:b/>
          <w:bCs/>
          <w:color w:val="2E75B6"/>
          <w:sz w:val="21"/>
          <w:szCs w:val="21"/>
          <w:lang w:val="fr-BE"/>
        </w:rPr>
        <w:t xml:space="preserve">Context factual: </w:t>
      </w:r>
      <w:r>
        <w:rPr>
          <w:lang w:val="fr-BE"/>
        </w:rPr>
        <w:t>Declarația CEO-ului Mihai Tudor de „</w:t>
      </w:r>
      <w:r>
        <w:rPr>
          <w:i/>
          <w:lang w:val="fr-BE"/>
        </w:rPr>
        <w:t>ușoară ajustare în jos a marjei operaționale, cu 1-2 puncte procentuale</w:t>
      </w:r>
      <w:r>
        <w:rPr>
          <w:lang w:val="fr-BE"/>
        </w:rPr>
        <w:t xml:space="preserve">” nu este un simplu optimism generic - este o cuantificare specifică. O ajustare de 1-2pp de la </w:t>
      </w:r>
      <w:r>
        <w:rPr>
          <w:b/>
          <w:lang w:val="fr-BE"/>
        </w:rPr>
        <w:t>marja EBITDA bugetată de 12,7%</w:t>
      </w:r>
      <w:r>
        <w:rPr>
          <w:lang w:val="fr-BE"/>
        </w:rPr>
        <w:t xml:space="preserve"> (BVC 2025) ar fi însemnat 10,7-11,7%, adică un EBITDA de ~54-59 mil. lei. Realitatea: un profit net de </w:t>
      </w:r>
      <w:r>
        <w:rPr>
          <w:b/>
          <w:lang w:val="fr-BE"/>
        </w:rPr>
        <w:t>8,86 mil. lei</w:t>
      </w:r>
      <w:r>
        <w:rPr>
          <w:lang w:val="fr-BE"/>
        </w:rPr>
        <w:t xml:space="preserve"> pe întregul an. </w:t>
      </w:r>
      <w:r>
        <w:t xml:space="preserve">Declarația a fost făcută în </w:t>
      </w:r>
      <w:hyperlink r:id="rId15" w:history="1">
        <w:r>
          <w:rPr>
            <w:rStyle w:val="Hyperlink"/>
          </w:rPr>
          <w:t>emisiunea Feel The Markets</w:t>
        </w:r>
      </w:hyperlink>
      <w:r>
        <w:t>, în prezența Președintelui CA și a unui alt membru CA.</w:t>
      </w:r>
    </w:p>
    <w:p w:rsidR="00011129" w:rsidRDefault="00CF380A" w:rsidP="003E1198">
      <w:pPr>
        <w:spacing w:after="100" w:line="276" w:lineRule="auto"/>
        <w:jc w:val="both"/>
      </w:pPr>
      <w:r>
        <w:rPr>
          <w:b/>
          <w:bCs/>
          <w:color w:val="2E75B6"/>
          <w:sz w:val="21"/>
          <w:szCs w:val="21"/>
        </w:rPr>
        <w:t xml:space="preserve">Cadrul legal: </w:t>
      </w:r>
      <w:r>
        <w:rPr>
          <w:b/>
        </w:rPr>
        <w:t>Art. 12(1)(c) MAR</w:t>
      </w:r>
      <w:r>
        <w:t xml:space="preserve"> definește </w:t>
      </w:r>
      <w:r>
        <w:rPr>
          <w:b/>
        </w:rPr>
        <w:t>manipularea pieței</w:t>
      </w:r>
      <w:r>
        <w:t xml:space="preserve"> ca incluzând diseminarea de informații care oferă sau sunt susceptibile de a oferi </w:t>
      </w:r>
      <w:r>
        <w:rPr>
          <w:b/>
        </w:rPr>
        <w:t>semnale false sau înșelătoare cu privire la prețul unui instrument financiar</w:t>
      </w:r>
      <w:r>
        <w:t xml:space="preserve">. </w:t>
      </w:r>
      <w:r>
        <w:rPr>
          <w:b/>
        </w:rPr>
        <w:t>Art. 15 MAR</w:t>
      </w:r>
      <w:r>
        <w:t xml:space="preserve"> interzice explicit manipularea pieței. Chiar dacă declarația nu a fost făcută cu intenție de manipulare, cadrul MAR vizează și efectul obiectiv al comunicării.</w:t>
      </w:r>
    </w:p>
    <w:p w:rsidR="00011129" w:rsidRDefault="00CF380A" w:rsidP="003E1198">
      <w:pPr>
        <w:spacing w:before="160" w:after="200" w:line="276" w:lineRule="auto"/>
        <w:jc w:val="both"/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>Ce bază analitică a stat la fundamentarea cuantificării de „</w:t>
      </w:r>
      <w:r>
        <w:rPr>
          <w:b/>
          <w:i/>
          <w:lang w:val="fr-BE"/>
        </w:rPr>
        <w:t>1-2 puncte procentuale</w:t>
      </w:r>
      <w:r>
        <w:rPr>
          <w:lang w:val="fr-BE"/>
        </w:rPr>
        <w:t xml:space="preserve">”? A existat un document intern - o prognoză, o situație de gestiune actualizată - care susținea această cifră la acel moment? Dacă nu, pe ce s-a bazat CEO-ul? Și dacă da, de ce s-a dovedit atât de grav greșit? </w:t>
      </w:r>
      <w:r>
        <w:t>Cum evaluați, retrospectiv, impactul acestei declarații specifice asupra deciziilor investitorilor?</w:t>
      </w:r>
    </w:p>
    <w:p w:rsidR="00011129" w:rsidRPr="00345B24" w:rsidRDefault="00CF380A" w:rsidP="003E1198">
      <w:pPr>
        <w:pBdr>
          <w:bottom w:val="single" w:sz="4" w:space="6" w:color="2E75B6"/>
        </w:pBdr>
        <w:spacing w:before="360" w:after="160"/>
        <w:jc w:val="both"/>
        <w:rPr>
          <w:lang w:val="fr-BE"/>
        </w:rPr>
      </w:pPr>
      <w:r>
        <w:rPr>
          <w:b/>
          <w:bCs/>
          <w:color w:val="1B3A5C"/>
          <w:sz w:val="26"/>
          <w:szCs w:val="26"/>
          <w:lang w:val="fr-BE"/>
        </w:rPr>
        <w:t>4. VÂNZAREA COORDONATĂ DIN 20 NOIEMBRIE 2025 - TIMELINE ȘI INFORMAȚII DISPONIBILE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lastRenderedPageBreak/>
        <w:t xml:space="preserve">Context factual: </w:t>
      </w:r>
      <w:r>
        <w:rPr>
          <w:lang w:val="fr-BE"/>
        </w:rPr>
        <w:t xml:space="preserve">La doar 8 zile după emisiunea Feel The Markets, la 20 noiembrie 2025 - în aceeași zi cu </w:t>
      </w:r>
      <w:r>
        <w:rPr>
          <w:b/>
          <w:lang w:val="fr-BE"/>
        </w:rPr>
        <w:t>inaugurarea parcului fotovoltaic Giurgiu</w:t>
      </w:r>
      <w:r>
        <w:rPr>
          <w:lang w:val="fr-BE"/>
        </w:rPr>
        <w:t xml:space="preserve"> - toți </w:t>
      </w:r>
      <w:r>
        <w:rPr>
          <w:b/>
          <w:lang w:val="fr-BE"/>
        </w:rPr>
        <w:t>cei trei fondatori au vândut simultan</w:t>
      </w:r>
      <w:r>
        <w:rPr>
          <w:lang w:val="fr-BE"/>
        </w:rPr>
        <w:t xml:space="preserve"> 165.000 acțiuni la 52 RON (total ~8,58 mil. RON). A fost </w:t>
      </w:r>
      <w:r>
        <w:rPr>
          <w:b/>
          <w:lang w:val="fr-BE"/>
        </w:rPr>
        <w:t>prima vânzare directă semnificativă de la listare</w:t>
      </w:r>
      <w:r>
        <w:rPr>
          <w:lang w:val="fr-BE"/>
        </w:rPr>
        <w:t xml:space="preserve"> (</w:t>
      </w:r>
      <w:hyperlink r:id="rId16" w:history="1">
        <w:r>
          <w:rPr>
            <w:rStyle w:val="Hyperlink"/>
            <w:lang w:val="fr-BE"/>
          </w:rPr>
          <w:t>Raport Curent SMTL 66/2025, Art. 19 MAR, BVB</w:t>
        </w:r>
      </w:hyperlink>
      <w:r>
        <w:rPr>
          <w:lang w:val="fr-BE"/>
        </w:rPr>
        <w:t xml:space="preserve">). La acea dată, membrii CA aveau acces la situațiile financiare pe 9 luni (profit 2,7 mil. din 45,6 mil. bugetat) și, probabil, la </w:t>
      </w:r>
      <w:r>
        <w:rPr>
          <w:b/>
          <w:lang w:val="fr-BE"/>
        </w:rPr>
        <w:t>date interne mai recente</w:t>
      </w:r>
      <w:r>
        <w:rPr>
          <w:lang w:val="fr-BE"/>
        </w:rPr>
        <w:t>.</w:t>
      </w:r>
    </w:p>
    <w:p w:rsidR="00011129" w:rsidRDefault="00CF380A" w:rsidP="003E1198">
      <w:pPr>
        <w:spacing w:after="100" w:line="276" w:lineRule="auto"/>
        <w:jc w:val="both"/>
      </w:pPr>
      <w:r>
        <w:rPr>
          <w:b/>
          <w:bCs/>
          <w:color w:val="2E75B6"/>
          <w:sz w:val="21"/>
          <w:szCs w:val="21"/>
        </w:rPr>
        <w:t xml:space="preserve">Cadrul legal: </w:t>
      </w:r>
      <w:r>
        <w:rPr>
          <w:b/>
        </w:rPr>
        <w:t>Art. 8(1) MAR</w:t>
      </w:r>
      <w:r>
        <w:t xml:space="preserve"> definește </w:t>
      </w:r>
      <w:r>
        <w:rPr>
          <w:b/>
        </w:rPr>
        <w:t>insider dealing</w:t>
      </w:r>
      <w:r>
        <w:t xml:space="preserve"> ca </w:t>
      </w:r>
      <w:r>
        <w:rPr>
          <w:b/>
          <w:i/>
        </w:rPr>
        <w:t>utilizarea informațiilor privilegiate prin achiziționarea sau cedarea de instrumente financiare</w:t>
      </w:r>
      <w:r>
        <w:t xml:space="preserve">. </w:t>
      </w:r>
      <w:r>
        <w:rPr>
          <w:b/>
        </w:rPr>
        <w:t>Art. 14 MAR</w:t>
      </w:r>
      <w:r>
        <w:t xml:space="preserve"> interzice explicit insider dealing-ul. </w:t>
      </w:r>
      <w:r>
        <w:rPr>
          <w:b/>
        </w:rPr>
        <w:t>Art. 19(1) MAR</w:t>
      </w:r>
      <w:r>
        <w:t xml:space="preserve"> obligă PDMR-urile să notifice tranzacțiile - ceea ce s-a făcut formal. Însă notificarea nu echivalează cu </w:t>
      </w:r>
      <w:r>
        <w:rPr>
          <w:b/>
        </w:rPr>
        <w:t>legalitatea tranzacției</w:t>
      </w:r>
      <w:r>
        <w:t xml:space="preserve">, dacă aceasta s-a bazat pe </w:t>
      </w:r>
      <w:r>
        <w:rPr>
          <w:b/>
        </w:rPr>
        <w:t>informații privilegiate</w:t>
      </w:r>
      <w:r>
        <w:t xml:space="preserve">. </w:t>
      </w:r>
    </w:p>
    <w:p w:rsidR="00011129" w:rsidRPr="00345B24" w:rsidRDefault="00CF380A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 xml:space="preserve">(a) Ce </w:t>
      </w:r>
      <w:r>
        <w:rPr>
          <w:b/>
          <w:lang w:val="fr-BE"/>
        </w:rPr>
        <w:t>informații financiare consolidate interne</w:t>
      </w:r>
      <w:r>
        <w:rPr>
          <w:lang w:val="fr-BE"/>
        </w:rPr>
        <w:t xml:space="preserve"> erau disponibile fondatorilor la 20 noiembrie 2025 - în particular, exista un </w:t>
      </w:r>
      <w:r>
        <w:rPr>
          <w:b/>
          <w:lang w:val="fr-BE"/>
        </w:rPr>
        <w:t>forecast intern actualizat al profitului net estimat la finalul anului</w:t>
      </w:r>
      <w:r>
        <w:rPr>
          <w:lang w:val="fr-BE"/>
        </w:rPr>
        <w:t xml:space="preserve">? (b) Ce </w:t>
      </w:r>
      <w:r>
        <w:rPr>
          <w:b/>
          <w:lang w:val="fr-BE"/>
        </w:rPr>
        <w:t>evaluare de conformitate cu prevederile MAR</w:t>
      </w:r>
      <w:r>
        <w:rPr>
          <w:lang w:val="fr-BE"/>
        </w:rPr>
        <w:t xml:space="preserve"> a fost realizată înainte de tranzacție - atât privind interdicția de insider dealing (Art. 14), cât și privind posesia de informații privilegiate? (c) Cum explicați decizia simultană a celor 3 fondatori de a vinde în aceeași zi?</w:t>
      </w:r>
    </w:p>
    <w:p w:rsidR="00011129" w:rsidRDefault="008A1792" w:rsidP="003E1198">
      <w:pPr>
        <w:pBdr>
          <w:bottom w:val="single" w:sz="4" w:space="6" w:color="2E75B6"/>
        </w:pBdr>
        <w:spacing w:before="360" w:after="160"/>
        <w:jc w:val="both"/>
      </w:pPr>
      <w:r>
        <w:rPr>
          <w:b/>
          <w:bCs/>
          <w:color w:val="1B3A5C"/>
          <w:sz w:val="26"/>
          <w:szCs w:val="26"/>
        </w:rPr>
        <w:t>5. CLOSED PERIOD - VERIFICARE PROCEDURALĂ</w:t>
      </w:r>
    </w:p>
    <w:p w:rsidR="00011129" w:rsidRDefault="00CF380A" w:rsidP="003E1198">
      <w:pPr>
        <w:spacing w:after="100" w:line="276" w:lineRule="auto"/>
        <w:jc w:val="both"/>
      </w:pPr>
      <w:r>
        <w:rPr>
          <w:b/>
          <w:bCs/>
          <w:color w:val="2E75B6"/>
          <w:sz w:val="21"/>
          <w:szCs w:val="21"/>
        </w:rPr>
        <w:t xml:space="preserve">Context factual: </w:t>
      </w:r>
      <w:r>
        <w:t>Raportul pe 9M 2025 a fost publicat pe 5 noiembrie 2025. Vânzarea fondatorilor a avut loc pe 20 noiembrie 2025. Următorul raport financiar periodic (rezultatele preliminare pe 2025) a fost publicat pe 25 februarie 2026.</w:t>
      </w:r>
    </w:p>
    <w:p w:rsidR="00011129" w:rsidRPr="00431431" w:rsidRDefault="00CF380A" w:rsidP="003E1198">
      <w:pPr>
        <w:spacing w:after="100" w:line="276" w:lineRule="auto"/>
        <w:jc w:val="both"/>
      </w:pPr>
      <w:r>
        <w:rPr>
          <w:b/>
          <w:bCs/>
          <w:color w:val="2E75B6"/>
          <w:sz w:val="21"/>
          <w:szCs w:val="21"/>
        </w:rPr>
        <w:t xml:space="preserve">Cadrul legal: </w:t>
      </w:r>
      <w:r>
        <w:rPr>
          <w:b/>
        </w:rPr>
        <w:t>Art. 19(11) MAR</w:t>
      </w:r>
      <w:r>
        <w:t xml:space="preserve"> prevede că PDMR-urile nu pot efectua tranzacții pe cont propriu în perioada de 30 de zile calendaristice înainte de anunțarea unui raport financiar interimar sau de final de an. ESMA a confirmat (</w:t>
      </w:r>
      <w:hyperlink r:id="rId17" w:history="1">
        <w:r>
          <w:rPr>
            <w:rStyle w:val="Hyperlink"/>
          </w:rPr>
          <w:t>Q&amp;A MAR, întrebarea 7.9</w:t>
        </w:r>
      </w:hyperlink>
      <w:r>
        <w:t>) că anunțarea rezultatelor financiare preliminare pune capăt closed period-ului, cu condiția ca anunțul să conțină toate cifrele financiare cheie.</w:t>
      </w:r>
    </w:p>
    <w:p w:rsidR="00011129" w:rsidRPr="00345B24" w:rsidRDefault="00CF380A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 xml:space="preserve">Dacă rezultatele preliminare pe 2025 au fost publicate pe 25 februarie 2026, closed period-ul de 30 de zile ar fi început la 26 ianuarie 2026. Vânzarea din 20 noiembrie cade formal în afara acestei perioade. Totuși: a existat </w:t>
      </w:r>
      <w:r>
        <w:rPr>
          <w:b/>
          <w:lang w:val="fr-BE"/>
        </w:rPr>
        <w:t>o analiză internă care a verificat dacă la data de 20 noiembrie fondatorii nu se aflau deja în posesia unei informații privilegiate</w:t>
      </w:r>
      <w:r>
        <w:rPr>
          <w:lang w:val="fr-BE"/>
        </w:rPr>
        <w:t xml:space="preserve"> (adică o prognoză internă suficient de precisă privind deviația profitului de la BVC) care ar fi făcut tranzacția interzisă conform Art. 14 MAR, indiferent de regulile de closed period?</w:t>
      </w:r>
    </w:p>
    <w:p w:rsidR="00011129" w:rsidRPr="00345B24" w:rsidRDefault="00324278" w:rsidP="003E1198">
      <w:pPr>
        <w:pBdr>
          <w:bottom w:val="single" w:sz="4" w:space="6" w:color="2E75B6"/>
        </w:pBdr>
        <w:spacing w:before="360" w:after="160"/>
        <w:jc w:val="both"/>
        <w:rPr>
          <w:lang w:val="fr-BE"/>
        </w:rPr>
      </w:pPr>
      <w:r>
        <w:rPr>
          <w:b/>
          <w:bCs/>
          <w:color w:val="1B3A5C"/>
          <w:sz w:val="26"/>
          <w:szCs w:val="26"/>
          <w:lang w:val="fr-BE"/>
        </w:rPr>
        <w:t>6. STRUCTURA VENITURILOR - TRANSPARENȚĂ vs. NARATIV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Context factual: </w:t>
      </w:r>
      <w:r>
        <w:rPr>
          <w:lang w:val="fr-BE"/>
        </w:rPr>
        <w:t>Veniturile consolidate de 605,7 mil. lei includ aproximativ 277 mil. lei de la G-Energy Solutions (+329% vs 2024), un business de furnizare/trading de energie cu marjă minimală si care nu exista la aceeași scară în 2024. Business-ul core Simtel (EPC) a crescut doar +14%. Narativul de „</w:t>
      </w:r>
      <w:r>
        <w:rPr>
          <w:b/>
          <w:i/>
          <w:lang w:val="fr-BE"/>
        </w:rPr>
        <w:t>creștere +68%</w:t>
      </w:r>
      <w:r>
        <w:rPr>
          <w:lang w:val="fr-BE"/>
        </w:rPr>
        <w:t>” reflectă în principal această adăugare de volum. CEO-ul Tudor recunoaște: „</w:t>
      </w:r>
      <w:r>
        <w:rPr>
          <w:b/>
          <w:i/>
          <w:lang w:val="fr-BE"/>
        </w:rPr>
        <w:t>Extinderea acestui segment a modificat structura consolidată a veniturilor, întrucât furnizarea este, prin natura sa, un business de volum mare, dar cu marjă procentuală redusă</w:t>
      </w:r>
      <w:r>
        <w:rPr>
          <w:lang w:val="fr-BE"/>
        </w:rPr>
        <w:t>” (</w:t>
      </w:r>
      <w:hyperlink r:id="rId18" w:history="1">
        <w:r>
          <w:rPr>
            <w:rStyle w:val="Hyperlink"/>
            <w:lang w:val="fr-BE"/>
          </w:rPr>
          <w:t>sursa: Profit.ro, 25 feb. 2026</w:t>
        </w:r>
      </w:hyperlink>
      <w:r>
        <w:rPr>
          <w:lang w:val="fr-BE"/>
        </w:rPr>
        <w:t>).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Cadrul legal: </w:t>
      </w:r>
      <w:r>
        <w:rPr>
          <w:b/>
          <w:lang w:val="fr-BE"/>
        </w:rPr>
        <w:t>Art. 17(1) MAR</w:t>
      </w:r>
      <w:r>
        <w:rPr>
          <w:lang w:val="fr-BE"/>
        </w:rPr>
        <w:t xml:space="preserve">, coroborat cu principiile </w:t>
      </w:r>
      <w:hyperlink r:id="rId19" w:history="1">
        <w:r>
          <w:rPr>
            <w:rStyle w:val="Hyperlink"/>
            <w:lang w:val="fr-BE"/>
          </w:rPr>
          <w:t>ESMA privind Alternative Performance Measures (ESMA/2015/1415)</w:t>
        </w:r>
      </w:hyperlink>
      <w:r>
        <w:rPr>
          <w:lang w:val="fr-BE"/>
        </w:rPr>
        <w:t xml:space="preserve">, impune ca </w:t>
      </w:r>
      <w:r>
        <w:rPr>
          <w:b/>
          <w:i/>
          <w:lang w:val="fr-BE"/>
        </w:rPr>
        <w:t>informațiile financiare comunicate pieței să fie prezentate într-un mod care permite o evaluare completă, corectă și la timp</w:t>
      </w:r>
      <w:r>
        <w:rPr>
          <w:lang w:val="fr-BE"/>
        </w:rPr>
        <w:t>.</w:t>
      </w:r>
    </w:p>
    <w:p w:rsidR="00011129" w:rsidRPr="00345B24" w:rsidRDefault="00CF380A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lastRenderedPageBreak/>
        <w:t xml:space="preserve">Întrebare: </w:t>
      </w:r>
      <w:r>
        <w:rPr>
          <w:lang w:val="fr-BE"/>
        </w:rPr>
        <w:t>Recunoașteți că narativul de creștere comunicat pieței a fost distorsionat de includerea veniturilor G-Energy la nivel consolidat fără segmentare transparentă? Cum vor fi raportate pe viitor rezultatele pe segmente de activitate, astfel încât investitorii să poată evalua separat performanța EPC de cea a furnizării de energie?</w:t>
      </w:r>
    </w:p>
    <w:p w:rsidR="00011129" w:rsidRPr="00345B24" w:rsidRDefault="00324278" w:rsidP="003E1198">
      <w:pPr>
        <w:pBdr>
          <w:bottom w:val="single" w:sz="4" w:space="6" w:color="2E75B6"/>
        </w:pBdr>
        <w:spacing w:before="360" w:after="160"/>
        <w:jc w:val="both"/>
        <w:rPr>
          <w:lang w:val="fr-BE"/>
        </w:rPr>
      </w:pPr>
      <w:r>
        <w:rPr>
          <w:b/>
          <w:bCs/>
          <w:color w:val="1B3A5C"/>
          <w:sz w:val="26"/>
          <w:szCs w:val="26"/>
          <w:lang w:val="fr-BE"/>
        </w:rPr>
        <w:t>7. CREDIBILITATEA BVC 2026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Context factual: </w:t>
      </w:r>
      <w:r>
        <w:rPr>
          <w:b/>
          <w:lang w:val="fr-BE"/>
        </w:rPr>
        <w:t>BVC 2026</w:t>
      </w:r>
      <w:r>
        <w:rPr>
          <w:lang w:val="fr-BE"/>
        </w:rPr>
        <w:t xml:space="preserve"> prevede </w:t>
      </w:r>
      <w:r>
        <w:rPr>
          <w:b/>
          <w:lang w:val="fr-BE"/>
        </w:rPr>
        <w:t>venituri de 907 mil. lei</w:t>
      </w:r>
      <w:r>
        <w:rPr>
          <w:lang w:val="fr-BE"/>
        </w:rPr>
        <w:t xml:space="preserve"> (+50%), </w:t>
      </w:r>
      <w:r>
        <w:rPr>
          <w:b/>
          <w:lang w:val="fr-BE"/>
        </w:rPr>
        <w:t>EBITDA de 70,9 mil. lei</w:t>
      </w:r>
      <w:r>
        <w:rPr>
          <w:lang w:val="fr-BE"/>
        </w:rPr>
        <w:t xml:space="preserve"> și o </w:t>
      </w:r>
      <w:r>
        <w:rPr>
          <w:b/>
          <w:lang w:val="fr-BE"/>
        </w:rPr>
        <w:t>marjă EBITDA de ~8%</w:t>
      </w:r>
      <w:r>
        <w:rPr>
          <w:lang w:val="fr-BE"/>
        </w:rPr>
        <w:t xml:space="preserve">. Marja EBITDA țintă pentru 2026 (8%) este mult sub cea din BVC 2025 (12,7%) - ceea ce </w:t>
      </w:r>
      <w:r>
        <w:rPr>
          <w:b/>
          <w:lang w:val="fr-BE"/>
        </w:rPr>
        <w:t>sugerează o recunoaștere retroactivă a faptului că BVC 2025 era nerealist</w:t>
      </w:r>
      <w:r>
        <w:rPr>
          <w:lang w:val="fr-BE"/>
        </w:rPr>
        <w:t>.</w:t>
      </w:r>
    </w:p>
    <w:p w:rsidR="00011129" w:rsidRPr="00345B24" w:rsidRDefault="00CF380A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 xml:space="preserve">(a) Dacă marja EBITDA din BVC 2026 este de 8% vs 12,7% din BVC 2025, aceasta nu constituie o recunoaștere implicită că BVC-ul 2025 a fost construit pe asumpții nerealiste? (b) </w:t>
      </w:r>
      <w:r>
        <w:rPr>
          <w:b/>
          <w:lang w:val="fr-BE"/>
        </w:rPr>
        <w:t>Pe ce bază concretă se estimează un profit net</w:t>
      </w:r>
      <w:r>
        <w:rPr>
          <w:lang w:val="fr-BE"/>
        </w:rPr>
        <w:t xml:space="preserve"> de ~33-34 mil. lei în 2026, de aproape 4 ori rezultatul 2025 de 8,86 mil. lei? (c) Ce </w:t>
      </w:r>
      <w:r>
        <w:rPr>
          <w:b/>
          <w:lang w:val="fr-BE"/>
        </w:rPr>
        <w:t>mecanism de monitorizare trimestrială a execuției BVC</w:t>
      </w:r>
      <w:r>
        <w:rPr>
          <w:lang w:val="fr-BE"/>
        </w:rPr>
        <w:t xml:space="preserve"> veți implementa pentru a nu repeta situația din 2025?</w:t>
      </w:r>
    </w:p>
    <w:p w:rsidR="00011129" w:rsidRPr="00345B24" w:rsidRDefault="00324278" w:rsidP="003E1198">
      <w:pPr>
        <w:pBdr>
          <w:bottom w:val="single" w:sz="4" w:space="6" w:color="2E75B6"/>
        </w:pBdr>
        <w:spacing w:before="360" w:after="160"/>
        <w:jc w:val="both"/>
        <w:rPr>
          <w:lang w:val="fr-BE"/>
        </w:rPr>
      </w:pPr>
      <w:r>
        <w:rPr>
          <w:b/>
          <w:bCs/>
          <w:color w:val="1B3A5C"/>
          <w:sz w:val="26"/>
          <w:szCs w:val="26"/>
          <w:lang w:val="fr-BE"/>
        </w:rPr>
        <w:t>8. MESAJ PENTRU INVESTITORII AFECTAȚI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Context factual: </w:t>
      </w:r>
      <w:r>
        <w:rPr>
          <w:lang w:val="fr-BE"/>
        </w:rPr>
        <w:t>Între noiembrie 2025 și 25 februarie 2026, investitori au cumpărat și vândut acțiuni SMTL pe baza ultimelor informații publice: un BVC reconfirmat de 45,6 mil. lei profit și o declarație cuantificată de „</w:t>
      </w:r>
      <w:r>
        <w:rPr>
          <w:b/>
          <w:i/>
          <w:lang w:val="fr-BE"/>
        </w:rPr>
        <w:t>ajustare 1-2pp</w:t>
      </w:r>
      <w:r>
        <w:rPr>
          <w:lang w:val="fr-BE"/>
        </w:rPr>
        <w:t xml:space="preserve">”. Rezultatul real: 8,86 mil. lei, cu </w:t>
      </w:r>
      <w:r>
        <w:rPr>
          <w:b/>
          <w:i/>
          <w:lang w:val="fr-BE"/>
        </w:rPr>
        <w:t>75,94% sub 2024</w:t>
      </w:r>
      <w:r>
        <w:rPr>
          <w:lang w:val="fr-BE"/>
        </w:rPr>
        <w:t>. Acțiunea a pierdut ~15% într-o singură zi, echivalentul a ~72 mil. RON din capitalizare.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Cadrul legal: </w:t>
      </w:r>
      <w:r>
        <w:rPr>
          <w:b/>
          <w:lang w:val="fr-BE"/>
        </w:rPr>
        <w:t>Art. 17(1) MAR</w:t>
      </w:r>
      <w:r>
        <w:rPr>
          <w:lang w:val="fr-BE"/>
        </w:rPr>
        <w:t xml:space="preserve"> obligă emitentul să asigure publicarea informațiilor privilegiate „</w:t>
      </w:r>
      <w:r>
        <w:rPr>
          <w:b/>
          <w:i/>
          <w:lang w:val="fr-BE"/>
        </w:rPr>
        <w:t>într-un mod care permite accesul rapid și evaluarea completă, corectă și la timp a informației de către public</w:t>
      </w:r>
      <w:r>
        <w:rPr>
          <w:lang w:val="fr-BE"/>
        </w:rPr>
        <w:t>”. Lipsa oricărei rectificări a BVC-ului sau a vreunui profit warning pe parcursul a 3+ luni pune sub semnul întrebării conformitatea cu acest standard.</w:t>
      </w:r>
    </w:p>
    <w:p w:rsidR="00011129" w:rsidRPr="00345B24" w:rsidRDefault="00CF380A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>Ce mesaj aveți pentru investitorii care au luat decizii de tranzacționare pe baza informațiilor publice furnizate de companie - informații care s-au dovedit grav inexacte? Considerați că piața a fost informată corect și la timp, în spiritul Art. 17(1) MAR?</w:t>
      </w:r>
    </w:p>
    <w:p w:rsidR="00011129" w:rsidRPr="00345B24" w:rsidRDefault="00324278" w:rsidP="003E1198">
      <w:pPr>
        <w:pBdr>
          <w:bottom w:val="single" w:sz="4" w:space="6" w:color="2E75B6"/>
        </w:pBdr>
        <w:spacing w:before="360" w:after="160"/>
        <w:jc w:val="both"/>
        <w:rPr>
          <w:lang w:val="fr-BE"/>
        </w:rPr>
      </w:pPr>
      <w:r>
        <w:rPr>
          <w:b/>
          <w:bCs/>
          <w:color w:val="1B3A5C"/>
          <w:sz w:val="26"/>
          <w:szCs w:val="26"/>
          <w:lang w:val="fr-BE"/>
        </w:rPr>
        <w:t>9. MECANISME CONCRETE DE GUVERNANȚĂ - ANGAJAMENTE, NU PRINCIPII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</w:rPr>
        <w:t xml:space="preserve">Context: </w:t>
      </w:r>
      <w:r>
        <w:t xml:space="preserve">Încrederea investitorilor în comunicarea Simtel a fost grav afectată. </w:t>
      </w:r>
      <w:r>
        <w:rPr>
          <w:lang w:val="fr-BE"/>
        </w:rPr>
        <w:t>Declarații de principiu nu mai sunt suficiente.</w:t>
      </w:r>
    </w:p>
    <w:p w:rsidR="00011129" w:rsidRPr="00345B24" w:rsidRDefault="00CF380A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 xml:space="preserve">Ce </w:t>
      </w:r>
      <w:r>
        <w:rPr>
          <w:b/>
          <w:lang w:val="fr-BE"/>
        </w:rPr>
        <w:t>mecanisme concrete de guvernanță corporativă</w:t>
      </w:r>
      <w:r>
        <w:rPr>
          <w:lang w:val="fr-BE"/>
        </w:rPr>
        <w:t xml:space="preserve"> intenționați să implementați - cu </w:t>
      </w:r>
      <w:r>
        <w:rPr>
          <w:b/>
          <w:lang w:val="fr-BE"/>
        </w:rPr>
        <w:t>orizonturi de timp</w:t>
      </w:r>
      <w:r>
        <w:rPr>
          <w:lang w:val="fr-BE"/>
        </w:rPr>
        <w:t xml:space="preserve"> și </w:t>
      </w:r>
      <w:r>
        <w:rPr>
          <w:b/>
          <w:lang w:val="fr-BE"/>
        </w:rPr>
        <w:t>responsabili desemnați</w:t>
      </w:r>
      <w:r>
        <w:rPr>
          <w:lang w:val="fr-BE"/>
        </w:rPr>
        <w:t xml:space="preserve"> - pentru a preveni repetarea acestei situații? Mă refer în particular la: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lang w:val="fr-BE"/>
        </w:rPr>
        <w:t xml:space="preserve">(a) </w:t>
      </w:r>
      <w:r>
        <w:rPr>
          <w:lang w:val="fr-BE"/>
        </w:rPr>
        <w:t xml:space="preserve">Un </w:t>
      </w:r>
      <w:r>
        <w:rPr>
          <w:b/>
          <w:lang w:val="fr-BE"/>
        </w:rPr>
        <w:t>cadru formal de declanșare a profit warning-ului</w:t>
      </w:r>
      <w:r>
        <w:rPr>
          <w:lang w:val="fr-BE"/>
        </w:rPr>
        <w:t xml:space="preserve"> la un prag definit de deviație față de BVC (de exemplu, 20% deviație), conform obligațiilor din </w:t>
      </w:r>
      <w:r>
        <w:rPr>
          <w:b/>
          <w:lang w:val="fr-BE"/>
        </w:rPr>
        <w:t>Art. 17(1) MAR</w:t>
      </w:r>
      <w:r>
        <w:rPr>
          <w:lang w:val="fr-BE"/>
        </w:rPr>
        <w:t>;</w:t>
      </w:r>
    </w:p>
    <w:p w:rsidR="00011129" w:rsidRPr="00345B24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lang w:val="fr-BE"/>
        </w:rPr>
        <w:t xml:space="preserve">(b) </w:t>
      </w:r>
      <w:r>
        <w:rPr>
          <w:lang w:val="fr-BE"/>
        </w:rPr>
        <w:t xml:space="preserve">O </w:t>
      </w:r>
      <w:r>
        <w:rPr>
          <w:b/>
          <w:lang w:val="fr-BE"/>
        </w:rPr>
        <w:t>politică de lock-up sau restricții suplimentare de tranzacționare pentru PDMR-uri</w:t>
      </w:r>
      <w:r>
        <w:rPr>
          <w:lang w:val="fr-BE"/>
        </w:rPr>
        <w:t xml:space="preserve">, dincolo de cele impuse de </w:t>
      </w:r>
      <w:r>
        <w:rPr>
          <w:b/>
          <w:lang w:val="fr-BE"/>
        </w:rPr>
        <w:t>Art. 19(11) MAR</w:t>
      </w:r>
      <w:r>
        <w:rPr>
          <w:lang w:val="fr-BE"/>
        </w:rPr>
        <w:t xml:space="preserve"> (closed period de 30 de zile) - de exemplu, extinderea la 60 de zile sau interdicția de tranzacționare în orice perioadă în care există o informație privilegiată nedezvăluită;</w:t>
      </w:r>
    </w:p>
    <w:p w:rsidR="00011129" w:rsidRDefault="00CF380A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lang w:val="fr-BE"/>
        </w:rPr>
        <w:lastRenderedPageBreak/>
        <w:t xml:space="preserve">(c) </w:t>
      </w:r>
      <w:r>
        <w:rPr>
          <w:lang w:val="fr-BE"/>
        </w:rPr>
        <w:t xml:space="preserve">O </w:t>
      </w:r>
      <w:r>
        <w:rPr>
          <w:b/>
          <w:lang w:val="fr-BE"/>
        </w:rPr>
        <w:t>segmentare detaliată și obligatorie a raportărilor pe linii de business</w:t>
      </w:r>
      <w:r>
        <w:rPr>
          <w:lang w:val="fr-BE"/>
        </w:rPr>
        <w:t xml:space="preserve"> (EPC vs. furnizare energie), începând cu raportul pe Q1 2026.</w:t>
      </w:r>
    </w:p>
    <w:p w:rsidR="00812ACC" w:rsidRDefault="00812ACC" w:rsidP="003E1198">
      <w:pPr>
        <w:spacing w:after="100" w:line="276" w:lineRule="auto"/>
        <w:jc w:val="both"/>
        <w:rPr>
          <w:lang w:val="fr-BE"/>
        </w:rPr>
      </w:pPr>
    </w:p>
    <w:p w:rsidR="00812ACC" w:rsidRPr="000476A8" w:rsidRDefault="00812ACC" w:rsidP="003E1198">
      <w:pPr>
        <w:spacing w:before="360" w:after="200" w:line="276" w:lineRule="auto"/>
        <w:jc w:val="both"/>
      </w:pPr>
      <w:r w:rsidRPr="000476A8">
        <w:rPr>
          <w:b/>
          <w:bCs/>
          <w:color w:val="1B3A5C"/>
          <w:sz w:val="26"/>
          <w:szCs w:val="26"/>
        </w:rPr>
        <w:t>10. DECLARAȚIA PUBLICĂ DIN DECEMBRIE 2025 VS. BVC-UL PROPRIU PE 2026</w:t>
      </w:r>
    </w:p>
    <w:p w:rsidR="00812ACC" w:rsidRDefault="00812ACC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</w:rPr>
        <w:t xml:space="preserve">Context: </w:t>
      </w:r>
      <w:r w:rsidRPr="000476A8">
        <w:t xml:space="preserve">La 25 decembrie 2025, CEO-ul Mihai Tudor a declarat pentru </w:t>
      </w:r>
      <w:hyperlink r:id="rId20" w:history="1">
        <w:r>
          <w:rPr>
            <w:rStyle w:val="Hyperlink"/>
          </w:rPr>
          <w:t>Termene Business Hub</w:t>
        </w:r>
      </w:hyperlink>
      <w:r w:rsidRPr="000476A8">
        <w:t xml:space="preserve"> că „</w:t>
      </w:r>
      <w:r w:rsidRPr="000476A8">
        <w:rPr>
          <w:i/>
        </w:rPr>
        <w:t>2026 va fi un an în care beneficiile investițiilor făcute anterior să se reflecte clar în profitabilitatea și stabilitatea companiei</w:t>
      </w:r>
      <w:r w:rsidRPr="000476A8">
        <w:t xml:space="preserve">”. </w:t>
      </w:r>
      <w:r>
        <w:rPr>
          <w:lang w:val="fr-BE"/>
        </w:rPr>
        <w:t xml:space="preserve">La acel moment, rezultatele la 9 luni arătau deja un profit net de 2,7M lei (5,9% din BVC). </w:t>
      </w:r>
    </w:p>
    <w:p w:rsidR="00812ACC" w:rsidRDefault="00812ACC" w:rsidP="003E1198">
      <w:pPr>
        <w:spacing w:after="100" w:line="276" w:lineRule="auto"/>
        <w:jc w:val="both"/>
        <w:rPr>
          <w:lang w:val="fr-BE"/>
        </w:rPr>
      </w:pPr>
      <w:r>
        <w:rPr>
          <w:lang w:val="fr-BE"/>
        </w:rPr>
        <w:t xml:space="preserve">Între timp, </w:t>
      </w:r>
      <w:hyperlink r:id="rId21" w:history="1">
        <w:r w:rsidRPr="000476A8">
          <w:rPr>
            <w:rStyle w:val="Hyperlink"/>
            <w:lang w:val="fr-BE"/>
          </w:rPr>
          <w:t>BVC-ul pe 2026</w:t>
        </w:r>
      </w:hyperlink>
      <w:r>
        <w:rPr>
          <w:lang w:val="fr-BE"/>
        </w:rPr>
        <w:t xml:space="preserve"> aprobat de companie prevede o marjă EBITDA de ~8% (față de 12,7% în BVC 2025) ș</w:t>
      </w:r>
      <w:r w:rsidR="000476A8">
        <w:rPr>
          <w:lang w:val="fr-BE"/>
        </w:rPr>
        <w:t>i un profit net de ~33-34M lei -</w:t>
      </w:r>
      <w:r>
        <w:rPr>
          <w:lang w:val="fr-BE"/>
        </w:rPr>
        <w:t xml:space="preserve"> inferior celui realizat în 2024 (~36,8M lei).</w:t>
      </w:r>
    </w:p>
    <w:p w:rsidR="00812ACC" w:rsidRDefault="00812ACC" w:rsidP="003E1198">
      <w:pPr>
        <w:spacing w:before="160" w:after="200" w:line="276" w:lineRule="auto"/>
        <w:jc w:val="both"/>
        <w:rPr>
          <w:lang w:val="fr-BE"/>
        </w:rPr>
      </w:pPr>
      <w:r>
        <w:rPr>
          <w:b/>
          <w:bCs/>
          <w:color w:val="C0392B"/>
          <w:lang w:val="fr-BE"/>
        </w:rPr>
        <w:t xml:space="preserve">Întrebare: </w:t>
      </w:r>
      <w:r>
        <w:rPr>
          <w:lang w:val="fr-BE"/>
        </w:rPr>
        <w:t>Pe ce bază factuală s-a fundamentat declarația că profitabilitatea se va vedea „</w:t>
      </w:r>
      <w:r w:rsidRPr="00755750">
        <w:rPr>
          <w:i/>
          <w:lang w:val="fr-BE"/>
        </w:rPr>
        <w:t>clar</w:t>
      </w:r>
      <w:r>
        <w:rPr>
          <w:lang w:val="fr-BE"/>
        </w:rPr>
        <w:t xml:space="preserve">” în 2026, în condițiile în care propriul buget nu susține această afirmație? Considerați că investitorii care au cumpărat acțiuni în perioada decembrie 2025 </w:t>
      </w:r>
      <w:r w:rsidR="000476A8">
        <w:rPr>
          <w:lang w:val="fr-BE"/>
        </w:rPr>
        <w:t>-</w:t>
      </w:r>
      <w:r>
        <w:rPr>
          <w:lang w:val="fr-BE"/>
        </w:rPr>
        <w:t xml:space="preserve"> februarie 2026 au fost informați corect?</w:t>
      </w:r>
    </w:p>
    <w:p w:rsidR="00812ACC" w:rsidRDefault="00812ACC" w:rsidP="003E1198">
      <w:pPr>
        <w:spacing w:after="100" w:line="276" w:lineRule="auto"/>
        <w:jc w:val="both"/>
        <w:rPr>
          <w:lang w:val="fr-BE"/>
        </w:rPr>
      </w:pPr>
      <w:r>
        <w:rPr>
          <w:b/>
          <w:bCs/>
          <w:color w:val="2E75B6"/>
          <w:sz w:val="21"/>
          <w:szCs w:val="21"/>
          <w:lang w:val="fr-BE"/>
        </w:rPr>
        <w:t xml:space="preserve">Cadrul legal: </w:t>
      </w:r>
      <w:r>
        <w:rPr>
          <w:b/>
          <w:lang w:val="fr-BE"/>
        </w:rPr>
        <w:t>Art. 12(1)(c)</w:t>
      </w:r>
      <w:r>
        <w:rPr>
          <w:lang w:val="fr-BE"/>
        </w:rPr>
        <w:t xml:space="preserve"> și </w:t>
      </w:r>
      <w:r>
        <w:rPr>
          <w:b/>
          <w:lang w:val="fr-BE"/>
        </w:rPr>
        <w:t>Art. 15</w:t>
      </w:r>
      <w:r>
        <w:rPr>
          <w:lang w:val="fr-BE"/>
        </w:rPr>
        <w:t xml:space="preserve"> din </w:t>
      </w:r>
      <w:r>
        <w:rPr>
          <w:b/>
          <w:lang w:val="fr-BE"/>
        </w:rPr>
        <w:t>Regulamentul (UE) nr. 596/2014 (MAR)</w:t>
      </w:r>
      <w:r w:rsidR="000476A8">
        <w:rPr>
          <w:lang w:val="fr-BE"/>
        </w:rPr>
        <w:t xml:space="preserve"> -</w:t>
      </w:r>
      <w:r>
        <w:rPr>
          <w:lang w:val="fr-BE"/>
        </w:rPr>
        <w:t xml:space="preserve"> diseminarea de informații care transmit semnale false sau înșelătoare. Această declarație se înscrie într-un tipar de comunicări publice optimiste nesusținute de datele financiare ale companiei (vezi și Întrebarea 3).</w:t>
      </w:r>
    </w:p>
    <w:p w:rsidR="00812ACC" w:rsidRDefault="00812ACC" w:rsidP="003E1198">
      <w:pPr>
        <w:spacing w:after="100" w:line="276" w:lineRule="auto"/>
        <w:jc w:val="both"/>
        <w:rPr>
          <w:lang w:val="fr-BE"/>
        </w:rPr>
      </w:pPr>
    </w:p>
    <w:p w:rsidR="00812ACC" w:rsidRDefault="00812ACC" w:rsidP="003E1198">
      <w:pPr>
        <w:spacing w:after="100" w:line="276" w:lineRule="auto"/>
        <w:jc w:val="both"/>
        <w:rPr>
          <w:lang w:val="fr-BE"/>
        </w:rPr>
      </w:pPr>
    </w:p>
    <w:p w:rsidR="00812ACC" w:rsidRDefault="00812ACC" w:rsidP="003E1198">
      <w:pPr>
        <w:spacing w:after="100" w:line="276" w:lineRule="auto"/>
        <w:jc w:val="both"/>
        <w:rPr>
          <w:lang w:val="fr-BE"/>
        </w:rPr>
      </w:pPr>
    </w:p>
    <w:p w:rsidR="00812ACC" w:rsidRPr="00345B24" w:rsidRDefault="00812ACC" w:rsidP="003E1198">
      <w:pPr>
        <w:spacing w:after="100" w:line="276" w:lineRule="auto"/>
        <w:jc w:val="both"/>
        <w:rPr>
          <w:lang w:val="fr-BE"/>
        </w:rPr>
      </w:pPr>
    </w:p>
    <w:sectPr w:rsidR="00812ACC" w:rsidRPr="00345B24">
      <w:headerReference w:type="default" r:id="rId22"/>
      <w:footerReference w:type="default" r:id="rId23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3A" w:rsidRDefault="00A0163A">
      <w:r>
        <w:separator/>
      </w:r>
    </w:p>
  </w:endnote>
  <w:endnote w:type="continuationSeparator" w:id="0">
    <w:p w:rsidR="00A0163A" w:rsidRDefault="00A0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29" w:rsidRDefault="00CF380A">
    <w:pPr>
      <w:jc w:val="center"/>
    </w:pPr>
    <w:r>
      <w:rPr>
        <w:color w:val="999999"/>
        <w:sz w:val="16"/>
        <w:szCs w:val="16"/>
      </w:rPr>
      <w:t xml:space="preserve">Pagina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0615D5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  <w:r>
      <w:rPr>
        <w:color w:val="999999"/>
        <w:sz w:val="16"/>
        <w:szCs w:val="16"/>
      </w:rPr>
      <w:t xml:space="preserve"> din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NUMPAGES</w:instrText>
    </w:r>
    <w:r>
      <w:rPr>
        <w:color w:val="999999"/>
        <w:sz w:val="16"/>
        <w:szCs w:val="16"/>
      </w:rPr>
      <w:fldChar w:fldCharType="separate"/>
    </w:r>
    <w:r w:rsidR="000615D5">
      <w:rPr>
        <w:noProof/>
        <w:color w:val="999999"/>
        <w:sz w:val="16"/>
        <w:szCs w:val="16"/>
      </w:rPr>
      <w:t>5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3A" w:rsidRDefault="00A0163A">
      <w:r>
        <w:separator/>
      </w:r>
    </w:p>
  </w:footnote>
  <w:footnote w:type="continuationSeparator" w:id="0">
    <w:p w:rsidR="00A0163A" w:rsidRDefault="00A01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129" w:rsidRDefault="00CF380A">
    <w:pPr>
      <w:pBdr>
        <w:bottom w:val="single" w:sz="2" w:space="4" w:color="CCCCCC"/>
      </w:pBdr>
      <w:jc w:val="right"/>
    </w:pPr>
    <w:r>
      <w:rPr>
        <w:color w:val="999999"/>
        <w:sz w:val="16"/>
        <w:szCs w:val="16"/>
      </w:rPr>
      <w:t>SIMTEL TEAM (SMTL) — Întrebări privind guvernanța corporativă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87C65"/>
    <w:multiLevelType w:val="hybridMultilevel"/>
    <w:tmpl w:val="119846DA"/>
    <w:lvl w:ilvl="0" w:tplc="A2287B1A">
      <w:start w:val="1"/>
      <w:numFmt w:val="bullet"/>
      <w:lvlText w:val="●"/>
      <w:lvlJc w:val="left"/>
      <w:pPr>
        <w:ind w:left="720" w:hanging="360"/>
      </w:pPr>
    </w:lvl>
    <w:lvl w:ilvl="1" w:tplc="0EF04B60">
      <w:start w:val="1"/>
      <w:numFmt w:val="bullet"/>
      <w:lvlText w:val="○"/>
      <w:lvlJc w:val="left"/>
      <w:pPr>
        <w:ind w:left="1440" w:hanging="360"/>
      </w:pPr>
    </w:lvl>
    <w:lvl w:ilvl="2" w:tplc="F9F2841C">
      <w:start w:val="1"/>
      <w:numFmt w:val="bullet"/>
      <w:lvlText w:val="■"/>
      <w:lvlJc w:val="left"/>
      <w:pPr>
        <w:ind w:left="2160" w:hanging="360"/>
      </w:pPr>
    </w:lvl>
    <w:lvl w:ilvl="3" w:tplc="964AFDDE">
      <w:start w:val="1"/>
      <w:numFmt w:val="bullet"/>
      <w:lvlText w:val="●"/>
      <w:lvlJc w:val="left"/>
      <w:pPr>
        <w:ind w:left="2880" w:hanging="360"/>
      </w:pPr>
    </w:lvl>
    <w:lvl w:ilvl="4" w:tplc="FB68548A">
      <w:start w:val="1"/>
      <w:numFmt w:val="bullet"/>
      <w:lvlText w:val="○"/>
      <w:lvlJc w:val="left"/>
      <w:pPr>
        <w:ind w:left="3600" w:hanging="360"/>
      </w:pPr>
    </w:lvl>
    <w:lvl w:ilvl="5" w:tplc="BAB66D00">
      <w:start w:val="1"/>
      <w:numFmt w:val="bullet"/>
      <w:lvlText w:val="■"/>
      <w:lvlJc w:val="left"/>
      <w:pPr>
        <w:ind w:left="4320" w:hanging="360"/>
      </w:pPr>
    </w:lvl>
    <w:lvl w:ilvl="6" w:tplc="00D2EF26">
      <w:start w:val="1"/>
      <w:numFmt w:val="bullet"/>
      <w:lvlText w:val="●"/>
      <w:lvlJc w:val="left"/>
      <w:pPr>
        <w:ind w:left="5040" w:hanging="360"/>
      </w:pPr>
    </w:lvl>
    <w:lvl w:ilvl="7" w:tplc="14CE8DE4">
      <w:start w:val="1"/>
      <w:numFmt w:val="bullet"/>
      <w:lvlText w:val="●"/>
      <w:lvlJc w:val="left"/>
      <w:pPr>
        <w:ind w:left="5760" w:hanging="360"/>
      </w:pPr>
    </w:lvl>
    <w:lvl w:ilvl="8" w:tplc="092A04D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1129"/>
    <w:rsid w:val="00011129"/>
    <w:rsid w:val="000476A8"/>
    <w:rsid w:val="000615D5"/>
    <w:rsid w:val="00324278"/>
    <w:rsid w:val="00345B24"/>
    <w:rsid w:val="003E1198"/>
    <w:rsid w:val="003F756B"/>
    <w:rsid w:val="00431431"/>
    <w:rsid w:val="005A57BE"/>
    <w:rsid w:val="00755750"/>
    <w:rsid w:val="00812ACC"/>
    <w:rsid w:val="008A1792"/>
    <w:rsid w:val="008E6397"/>
    <w:rsid w:val="00A0163A"/>
    <w:rsid w:val="00A81D20"/>
    <w:rsid w:val="00AE7285"/>
    <w:rsid w:val="00C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2E75B6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5B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2E75B6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5B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vb.ro/infocont/infocont26/SMTL_20260225125403_Raport-curent-SMTL-06-2026-RO.pdf" TargetMode="External"/><Relationship Id="rId13" Type="http://schemas.openxmlformats.org/officeDocument/2006/relationships/hyperlink" Target="https://simtel.ro/wp-content/uploads/2025/08/SMTL_20250826162350_Raport-curent-SMTL-43-2025-RO.pdf" TargetMode="External"/><Relationship Id="rId18" Type="http://schemas.openxmlformats.org/officeDocument/2006/relationships/hyperlink" Target="https://www.profit.ro/povesti-cu-profit/financiar/piata-de-capital/simtel-team-declin-drastic-la-nivelul-profitabilitatii-223599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inancialintelligence.ro/simtel-depaseste-600-milioane-de-lei-venituri-in-2025-si-intra-in-2026-cu-un-portofoliu-solid-de-proiect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mtel.ro/wp-content/uploads/2025/03/SMTL_20250324175931_Raport-curent-SMTL-16-2025-RO.pdf" TargetMode="External"/><Relationship Id="rId17" Type="http://schemas.openxmlformats.org/officeDocument/2006/relationships/hyperlink" Target="https://www.womblebonddickinson.com/uk/insights/articles-and-briefings/esma-clarifies-application-mar-trading-closed-periods-updated-ma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vb.ro/infocont/infocont25/SMTL_20251121170925_Current-Report-SMTL-66-2025-EN.pdf" TargetMode="External"/><Relationship Id="rId20" Type="http://schemas.openxmlformats.org/officeDocument/2006/relationships/hyperlink" Target="https://termene.ro/articole/mihai-tudor-ceo-simtel-2026-va-fi-anul-in-care-investitiile-facute-se-vor-vedea-clar-in-profitabilitatea-companiei-asteptari-pentru-20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P0vMLCZJz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P0vMLCZJz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egislatie.just.ro/Public/DetaliiDocumentAfis/245244" TargetMode="External"/><Relationship Id="rId19" Type="http://schemas.openxmlformats.org/officeDocument/2006/relationships/hyperlink" Target="https://www.esma.europa.eu/issuer-disclosure/financial-repor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/2014/596/oj/eng" TargetMode="External"/><Relationship Id="rId14" Type="http://schemas.openxmlformats.org/officeDocument/2006/relationships/hyperlink" Target="https://www.mayerbrown.com/en/insights/publications/2025/05/esma-publishes-final-report-on-changes-to-mar-inside-information-disclosure-rule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Dragos Dehelean</cp:lastModifiedBy>
  <cp:revision>9</cp:revision>
  <dcterms:created xsi:type="dcterms:W3CDTF">2026-02-27T19:56:00Z</dcterms:created>
  <dcterms:modified xsi:type="dcterms:W3CDTF">2026-03-02T05:51:00Z</dcterms:modified>
</cp:coreProperties>
</file>