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40"/>
        <w:jc w:val="center"/>
      </w:pPr>
      <w:r>
        <w:rPr>
          <w:rFonts w:ascii="Arial" w:cs="Arial" w:eastAsia="Arial" w:hAnsi="Arial"/>
          <w:b/>
          <w:bCs/>
          <w:color w:val="8B0000"/>
          <w:sz w:val="36"/>
          <w:szCs w:val="36"/>
        </w:rPr>
        <w:t xml:space="preserve">⚠️  CRIZA HORMUZ  ⚠️</w:t>
      </w:r>
    </w:p>
    <w:p>
      <w:pPr>
        <w:spacing w:after="80"/>
        <w:jc w:val="center"/>
      </w:pPr>
      <w:r>
        <w:rPr>
          <w:rFonts w:ascii="Arial" w:cs="Arial" w:eastAsia="Arial" w:hAnsi="Arial"/>
          <w:b/>
          <w:bCs/>
          <w:color w:val="333333"/>
          <w:sz w:val="40"/>
          <w:szCs w:val="40"/>
        </w:rPr>
        <w:t xml:space="preserve">OMV PETROM S.A. (SNP)</w:t>
      </w:r>
    </w:p>
    <w:p>
      <w:pPr>
        <w:spacing w:after="200"/>
        <w:jc w:val="center"/>
      </w:pPr>
      <w:r>
        <w:rPr>
          <w:rFonts w:ascii="Arial" w:cs="Arial" w:eastAsia="Arial" w:hAnsi="Arial"/>
          <w:color w:val="8B0000"/>
          <w:sz w:val="28"/>
          <w:szCs w:val="28"/>
        </w:rPr>
        <w:t xml:space="preserve">Evaluare Actualizată Post-Război Iran / Blocare Strâmtoare Hormuz</w:t>
      </w:r>
    </w:p>
    <w:p>
      <w:pPr>
        <w:pBdr>
          <w:top w:val="single" w:color="8B0000" w:sz="6" w:space="8"/>
          <w:bottom w:val="single" w:color="8B0000" w:sz="6" w:space="8"/>
        </w:pBdr>
        <w:spacing w:after="80"/>
        <w:jc w:val="center"/>
      </w:pPr>
      <w:r>
        <w:rPr>
          <w:rFonts w:ascii="Arial" w:cs="Arial" w:eastAsia="Arial" w:hAnsi="Arial"/>
          <w:color w:val="404040"/>
          <w:sz w:val="22"/>
          <w:szCs w:val="22"/>
        </w:rPr>
        <w:t xml:space="preserve">3 scenarii geopolitice × 4 metode de evaluare = 12 estimări</w:t>
      </w:r>
    </w:p>
    <w:p>
      <w:pPr>
        <w:spacing w:after="80"/>
      </w:pPr>
    </w:p>
    <w:p>
      <w:pPr>
        <w:jc w:val="center"/>
      </w:pPr>
      <w:r>
        <w:rPr>
          <w:rFonts w:ascii="Arial" w:cs="Arial" w:eastAsia="Arial" w:hAnsi="Arial"/>
          <w:color w:val="666666"/>
          <w:sz w:val="22"/>
          <w:szCs w:val="22"/>
        </w:rPr>
        <w:t xml:space="preserve">Data analizei: 9 martie 2026 (zi 10 de conflict)</w:t>
      </w:r>
    </w:p>
    <w:p>
      <w:pPr>
        <w:jc w:val="center"/>
      </w:pPr>
      <w:r>
        <w:rPr>
          <w:rFonts w:ascii="Arial" w:cs="Arial" w:eastAsia="Arial" w:hAnsi="Arial"/>
          <w:color w:val="666666"/>
          <w:sz w:val="20"/>
          <w:szCs w:val="20"/>
        </w:rPr>
        <w:t xml:space="preserve">Preț BVB (27 feb, pre-război): 0,971 RON  |  Brent spot: ~93–108 USD/bbl  |  TTF: ~53 EUR/MWh</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50"/>
        <w:gridCol w:w="2050"/>
        <w:gridCol w:w="2060"/>
      </w:tblGrid>
      <w:tr>
        <w:tc>
          <w:tcPr>
            <w:tcW w:type="dxa" w:w="320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Scenariu</w:t>
            </w:r>
          </w:p>
        </w:tc>
        <w:tc>
          <w:tcPr>
            <w:tcW w:type="dxa" w:w="2050"/>
            <w:tcBorders>
              <w:top w:val="single" w:color="2E8B57" w:sz="1"/>
              <w:left w:val="single" w:color="2E8B57" w:sz="1"/>
              <w:bottom w:val="single" w:color="2E8B57" w:sz="1"/>
              <w:right w:val="single" w:color="2E8B57" w:sz="1"/>
            </w:tcBorders>
            <w:shd w:fill="2E8B57"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Rezoluție rapidă</w:t>
            </w:r>
          </w:p>
        </w:tc>
        <w:tc>
          <w:tcPr>
            <w:tcW w:type="dxa" w:w="2050"/>
            <w:tcBorders>
              <w:top w:val="single" w:color="B8860B" w:sz="1"/>
              <w:left w:val="single" w:color="B8860B" w:sz="1"/>
              <w:bottom w:val="single" w:color="B8860B" w:sz="1"/>
              <w:right w:val="single" w:color="B8860B" w:sz="1"/>
            </w:tcBorders>
            <w:shd w:fill="B8860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Conflict prelungit</w:t>
            </w:r>
          </w:p>
        </w:tc>
        <w:tc>
          <w:tcPr>
            <w:tcW w:type="dxa" w:w="206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Escaladare</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Durată criză</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2–4 săpt.</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3–6 luni</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&gt;6 luni</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Brent mediu 12 luni</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72 USD/bbl</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b/>
                <w:bCs/>
                <w:sz w:val="18"/>
                <w:szCs w:val="18"/>
              </w:rPr>
              <w:t xml:space="preserve">85 USD/bbl</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95+ USD/bbl</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TTF mediu 12 luni</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38 EUR/MWh</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50 EUR/MWh</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65+ EUR/MWh</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TTF Neptun Deep (LT)</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28 EUR/MWh</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b/>
                <w:bCs/>
                <w:sz w:val="18"/>
                <w:szCs w:val="18"/>
              </w:rPr>
              <w:t xml:space="preserve">35 EUR/MWh</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45 EUR/MWh</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PREȚ ȚINTĂ SNP</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2E8B57"/>
                <w:sz w:val="18"/>
                <w:szCs w:val="18"/>
              </w:rPr>
              <w:t xml:space="preserve">1,00</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B8860B"/>
                <w:sz w:val="18"/>
                <w:szCs w:val="18"/>
              </w:rPr>
              <w:t xml:space="preserve">1,30</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8B0000"/>
                <w:sz w:val="18"/>
                <w:szCs w:val="18"/>
              </w:rPr>
              <w:t xml:space="preserve">1,55+</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vs preț pre-război (0,97)</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color w:val="2E8B57"/>
                <w:sz w:val="18"/>
                <w:szCs w:val="18"/>
              </w:rPr>
              <w:t xml:space="preserve">+3%</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color w:val="B8860B"/>
                <w:sz w:val="18"/>
                <w:szCs w:val="18"/>
              </w:rPr>
              <w:t xml:space="preserve">+34%</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color w:val="8B0000"/>
                <w:sz w:val="18"/>
                <w:szCs w:val="18"/>
              </w:rPr>
              <w:t xml:space="preserve">+60%+</w:t>
            </w:r>
          </w:p>
        </w:tc>
      </w:tr>
    </w:tbl>
    <w:p>
      <w:pPr>
        <w:spacing w:after="80"/>
      </w:pPr>
    </w:p>
    <w:p>
      <w:pPr>
        <w:spacing w:after="120"/>
      </w:pPr>
      <w:r>
        <w:rPr>
          <w:rFonts w:ascii="Arial" w:cs="Arial" w:eastAsia="Arial" w:hAnsi="Arial"/>
          <w:b/>
          <w:bCs/>
          <w:color w:val="8B0000"/>
          <w:sz w:val="20"/>
          <w:szCs w:val="20"/>
        </w:rPr>
        <w:t xml:space="preserve">CONCLUZIE PRINCIPALĂ: </w:t>
      </w:r>
      <w:r>
        <w:rPr>
          <w:rFonts w:ascii="Arial" w:cs="Arial" w:eastAsia="Arial" w:hAnsi="Arial"/>
          <w:sz w:val="20"/>
          <w:szCs w:val="20"/>
        </w:rPr>
        <w:t xml:space="preserve">Războiul din Iran și blocarea Strâmtorii Hormuz transformă radical evaluarea SNP. Chiar și în scenariul cel mai optimist (rezoluție rapidă), prețul curent este aproape de fair value. În scenariile de conflict prelungit sau escaladare, SNP este semnificativ subevaluată. Neptun Deep câștigă o primă strategică permanentă — producția internă de gaz devine critică pentru securitatea energetică a României și UE.</w:t>
      </w:r>
    </w:p>
    <w:p>
      <w:pPr>
        <w:spacing w:after="120"/>
      </w:pPr>
      <w:r>
        <w:rPr>
          <w:rFonts w:ascii="Arial" w:cs="Arial" w:eastAsia="Arial" w:hAnsi="Arial"/>
          <w:b/>
          <w:bCs/>
          <w:color w:val="8B0000"/>
          <w:sz w:val="20"/>
          <w:szCs w:val="20"/>
        </w:rPr>
        <w:t xml:space="preserve">ATENȚIE: </w:t>
      </w:r>
      <w:r>
        <w:rPr>
          <w:rFonts w:ascii="Arial" w:cs="Arial" w:eastAsia="Arial" w:hAnsi="Arial"/>
          <w:sz w:val="20"/>
          <w:szCs w:val="20"/>
        </w:rPr>
        <w:t xml:space="preserve">Incertitudinea este extremă. Pierderea totală nu este exclusă (crash sistemic al piețelor). Acest document NU este o recomandare de cumpărare.</w:t>
      </w:r>
    </w:p>
    <w:p>
      <w:r>
        <w:br w:type="page"/>
      </w:r>
    </w:p>
    <w:p>
      <w:pPr>
        <w:pStyle w:val="Heading1"/>
        <w:spacing w:before="300" w:after="200"/>
      </w:pPr>
      <w:r>
        <w:rPr>
          <w:rFonts w:ascii="Arial" w:cs="Arial" w:eastAsia="Arial" w:hAnsi="Arial"/>
          <w:b/>
          <w:bCs/>
          <w:color w:val="8B0000"/>
          <w:sz w:val="28"/>
          <w:szCs w:val="28"/>
        </w:rPr>
        <w:t xml:space="preserve">I. Situația Geopolitică la 9 Martie 2026</w:t>
      </w:r>
    </w:p>
    <w:p>
      <w:pPr>
        <w:spacing w:after="120"/>
      </w:pPr>
      <w:r>
        <w:rPr>
          <w:rFonts w:ascii="Arial" w:cs="Arial" w:eastAsia="Arial" w:hAnsi="Arial"/>
          <w:sz w:val="20"/>
          <w:szCs w:val="20"/>
        </w:rPr>
        <w:t xml:space="preserve">Pe 28 februarie 2026, SUA și Israel au lansat atacuri coordonate asupra Iranului (Operațiunea Epic Fury), ucigând liderul suprem Khamenei. Iran a răspuns cu rachete și drone asupra bazelor americane, Israelului, Qatarului, Arabiei Saudite, EAU, Kuweitului și altor state din Golf.</w:t>
      </w:r>
    </w:p>
    <w:p>
      <w:pPr>
        <w:spacing w:after="120"/>
      </w:pPr>
      <w:r>
        <w:rPr>
          <w:rFonts w:ascii="Arial" w:cs="Arial" w:eastAsia="Arial" w:hAnsi="Arial"/>
          <w:sz w:val="20"/>
          <w:szCs w:val="20"/>
        </w:rPr>
        <w:t xml:space="preserve">IRGC a declarat Strâmtoarea Hormuz închisă. Traficul maritim a scăzut de la normal la aproape zero. Mai multe tancuri petroliere au fost atacate cu drone. Qatar a oprit producția LNG și a declarat Force Majeure pe contractele de gaz (4 martie). Facilități din Arabia Saudită (Ras Tanura) au fost vizate. Hornuz-ul gestionează ~20% din oferta globală de petrol și ~20% din LNG-ul mondial.</w:t>
      </w:r>
    </w:p>
    <w:p>
      <w:pPr>
        <w:spacing w:after="120"/>
      </w:pPr>
      <w:r>
        <w:rPr>
          <w:rFonts w:ascii="Arial" w:cs="Arial" w:eastAsia="Arial" w:hAnsi="Arial"/>
          <w:sz w:val="20"/>
          <w:szCs w:val="20"/>
        </w:rPr>
        <w:t xml:space="preserve">La 9 martie (duminică seară), Brent futures a sărit la 93–108 USD/bbl (+35% într-o săptămână), WTI a depășit 100 USD/bbl, iar TTF gaz a urcat la 53 EUR/MWh (de la ~32 pre-conflict). SUA a anunțat escorte navale și asigurare de risc politic, dar companiile de transport maritim consideră că strâmtoarea nu este sigură.</w:t>
      </w:r>
    </w:p>
    <w:p>
      <w:pPr>
        <w:spacing w:after="120"/>
      </w:pPr>
      <w:r>
        <w:rPr>
          <w:rFonts w:ascii="Arial" w:cs="Arial" w:eastAsia="Arial" w:hAnsi="Arial"/>
          <w:sz w:val="20"/>
          <w:szCs w:val="20"/>
        </w:rPr>
        <w:t xml:space="preserve">Este cea mai gravă criză energetică globală de la embargoul petrolier din 1973.</w:t>
      </w:r>
    </w:p>
    <w:p>
      <w:pPr>
        <w:pStyle w:val="Heading2"/>
        <w:spacing w:before="240" w:after="160"/>
      </w:pPr>
      <w:r>
        <w:rPr>
          <w:rFonts w:ascii="Arial" w:cs="Arial" w:eastAsia="Arial" w:hAnsi="Arial"/>
          <w:b/>
          <w:bCs/>
          <w:color w:val="B22222"/>
          <w:sz w:val="24"/>
          <w:szCs w:val="24"/>
        </w:rPr>
        <w:t xml:space="preserve">1.1 Implicații Directe pentru SNP</w:t>
      </w:r>
    </w:p>
    <w:p>
      <w:pPr>
        <w:spacing w:after="120"/>
      </w:pPr>
      <w:r>
        <w:rPr>
          <w:rFonts w:ascii="Arial" w:cs="Arial" w:eastAsia="Arial" w:hAnsi="Arial"/>
          <w:sz w:val="20"/>
          <w:szCs w:val="20"/>
        </w:rPr>
        <w:t xml:space="preserve">• POZITIV — Prețuri de vânzare petrol și gaz mult mai mari: EBITDA se poate dubla pe termen scurt.</w:t>
      </w:r>
    </w:p>
    <w:p>
      <w:pPr>
        <w:spacing w:after="120"/>
      </w:pPr>
      <w:r>
        <w:rPr>
          <w:rFonts w:ascii="Arial" w:cs="Arial" w:eastAsia="Arial" w:hAnsi="Arial"/>
          <w:sz w:val="20"/>
          <w:szCs w:val="20"/>
        </w:rPr>
        <w:t xml:space="preserve">• POZITIV — Neptun Deep devine critic: producția internă de gaz în UE câștigă primă de securitate energetică permanentă.</w:t>
      </w:r>
    </w:p>
    <w:p>
      <w:pPr>
        <w:spacing w:after="120"/>
      </w:pPr>
      <w:r>
        <w:rPr>
          <w:rFonts w:ascii="Arial" w:cs="Arial" w:eastAsia="Arial" w:hAnsi="Arial"/>
          <w:sz w:val="20"/>
          <w:szCs w:val="20"/>
        </w:rPr>
        <w:t xml:space="preserve">• POZITIV — România nu depinde de Hormuz pentru aprovizionare: SNP operează integral în România, nu are active în zona de conflict.</w:t>
      </w:r>
    </w:p>
    <w:p>
      <w:pPr>
        <w:spacing w:after="120"/>
      </w:pPr>
      <w:r>
        <w:rPr>
          <w:rFonts w:ascii="Arial" w:cs="Arial" w:eastAsia="Arial" w:hAnsi="Arial"/>
          <w:sz w:val="20"/>
          <w:szCs w:val="20"/>
        </w:rPr>
        <w:t xml:space="preserve">• NEGATIV — Risc fiscal: guvernul poate suprataxă profiturile excepționale din energie (windfall tax).</w:t>
      </w:r>
    </w:p>
    <w:p>
      <w:pPr>
        <w:spacing w:after="120"/>
      </w:pPr>
      <w:r>
        <w:rPr>
          <w:rFonts w:ascii="Arial" w:cs="Arial" w:eastAsia="Arial" w:hAnsi="Arial"/>
          <w:sz w:val="20"/>
          <w:szCs w:val="20"/>
        </w:rPr>
        <w:t xml:space="preserve">• NEGATIV — Risc sistemic: crash piețe globale → BVB se corelează, vânzări forțate ale fondurilor, lichiditate scăzută.</w:t>
      </w:r>
    </w:p>
    <w:p>
      <w:pPr>
        <w:spacing w:after="120"/>
      </w:pPr>
      <w:r>
        <w:rPr>
          <w:rFonts w:ascii="Arial" w:cs="Arial" w:eastAsia="Arial" w:hAnsi="Arial"/>
          <w:sz w:val="20"/>
          <w:szCs w:val="20"/>
        </w:rPr>
        <w:t xml:space="preserve">• NEGATIV — Risc operațional: Neptun Deep foraj în curs cu Transocean Barents (rig din strainatate) — lanțul de aprovizionare offshore poate fi perturbat.</w:t>
      </w:r>
    </w:p>
    <w:p>
      <w:pPr>
        <w:spacing w:after="120"/>
      </w:pPr>
      <w:r>
        <w:rPr>
          <w:rFonts w:ascii="Arial" w:cs="Arial" w:eastAsia="Arial" w:hAnsi="Arial"/>
          <w:sz w:val="20"/>
          <w:szCs w:val="20"/>
        </w:rPr>
        <w:t xml:space="preserve">• NEGATIV — Reglementări preț gaz: România ar putea impune plafoane de preț pe gazul intern, limitând beneficiul.</w:t>
      </w:r>
    </w:p>
    <w:p>
      <w:r>
        <w:br w:type="page"/>
      </w:r>
    </w:p>
    <w:p>
      <w:pPr>
        <w:pStyle w:val="Heading1"/>
        <w:spacing w:before="300" w:after="200"/>
      </w:pPr>
      <w:r>
        <w:rPr>
          <w:rFonts w:ascii="Arial" w:cs="Arial" w:eastAsia="Arial" w:hAnsi="Arial"/>
          <w:b/>
          <w:bCs/>
          <w:color w:val="8B0000"/>
          <w:sz w:val="28"/>
          <w:szCs w:val="28"/>
        </w:rPr>
        <w:t xml:space="preserve">II. Cele 3 Scenarii Geopolitice</w:t>
      </w:r>
    </w:p>
    <w:p>
      <w:pPr>
        <w:pStyle w:val="Heading2"/>
        <w:spacing w:before="240" w:after="160"/>
      </w:pPr>
      <w:r>
        <w:rPr>
          <w:rFonts w:ascii="Arial" w:cs="Arial" w:eastAsia="Arial" w:hAnsi="Arial"/>
          <w:b/>
          <w:bCs/>
          <w:color w:val="B22222"/>
          <w:sz w:val="24"/>
          <w:szCs w:val="24"/>
        </w:rPr>
        <w:t xml:space="preserve">Scenariul A: Rezoluție Rapidă (2–4 săptămâni)</w:t>
      </w:r>
    </w:p>
    <w:p>
      <w:pPr>
        <w:spacing w:after="120"/>
      </w:pPr>
      <w:r>
        <w:rPr>
          <w:rFonts w:ascii="Arial" w:cs="Arial" w:eastAsia="Arial" w:hAnsi="Arial"/>
          <w:sz w:val="20"/>
          <w:szCs w:val="20"/>
        </w:rPr>
        <w:t xml:space="preserve">Ceasefire în martie/aprilie. SUA deschide Hormuz cu escorte navale. Iran negociază sub presiune. Prețul petrolului revine la 72–78 USD/bbl. Qatar reia LNG. TTF revine la 35–40 EUR/MWh. Piața relaxă, dar prima de securitate energetică rămâne permanent mai mare decât pre-conflict.</w:t>
      </w:r>
    </w:p>
    <w:p>
      <w:pPr>
        <w:spacing w:after="120"/>
      </w:pPr>
      <w:r>
        <w:rPr>
          <w:rFonts w:ascii="Arial" w:cs="Arial" w:eastAsia="Arial" w:hAnsi="Arial"/>
          <w:b/>
          <w:bCs/>
          <w:sz w:val="20"/>
          <w:szCs w:val="20"/>
        </w:rPr>
        <w:t xml:space="preserve">Asumpții model: </w:t>
      </w:r>
      <w:r>
        <w:rPr>
          <w:rFonts w:ascii="Arial" w:cs="Arial" w:eastAsia="Arial" w:hAnsi="Arial"/>
          <w:sz w:val="20"/>
          <w:szCs w:val="20"/>
        </w:rPr>
        <w:t xml:space="preserve">Brent mediu 12 luni: 72 USD/bbl. TTF mediu 12 luni: 38 EUR/MWh. TTF Neptun Deep long-term: 28 EUR/MWh (vs 25 pre-război — primă permanentă de securitate). WACC: 9%. Riscul fiscal: moderat.</w:t>
      </w:r>
    </w:p>
    <w:p>
      <w:pPr>
        <w:pStyle w:val="Heading2"/>
        <w:spacing w:before="240" w:after="160"/>
      </w:pPr>
      <w:r>
        <w:rPr>
          <w:rFonts w:ascii="Arial" w:cs="Arial" w:eastAsia="Arial" w:hAnsi="Arial"/>
          <w:b/>
          <w:bCs/>
          <w:color w:val="B22222"/>
          <w:sz w:val="24"/>
          <w:szCs w:val="24"/>
        </w:rPr>
        <w:t xml:space="preserve">Scenariul B: Conflict Prelungit (3–6 luni)</w:t>
      </w:r>
    </w:p>
    <w:p>
      <w:pPr>
        <w:spacing w:after="120"/>
      </w:pPr>
      <w:r>
        <w:rPr>
          <w:rFonts w:ascii="Arial" w:cs="Arial" w:eastAsia="Arial" w:hAnsi="Arial"/>
          <w:sz w:val="20"/>
          <w:szCs w:val="20"/>
        </w:rPr>
        <w:t xml:space="preserve">Hormuz rămâne parțial blocat luni de zile. Exporturile de petrol din Golf scăzând cu 30–50%. Qatar LNG absent prelungit. SUA nu reușește să stabilizeze rapid strâmtoarea (asigurarile maritime rămân prohibitive). Petrolul se stabilește la 80–95 USD/bbl. TTF la 45–60 EUR/MWh. Recesiune ușoară globală.</w:t>
      </w:r>
    </w:p>
    <w:p>
      <w:pPr>
        <w:spacing w:after="120"/>
      </w:pPr>
      <w:r>
        <w:rPr>
          <w:rFonts w:ascii="Arial" w:cs="Arial" w:eastAsia="Arial" w:hAnsi="Arial"/>
          <w:b/>
          <w:bCs/>
          <w:sz w:val="20"/>
          <w:szCs w:val="20"/>
        </w:rPr>
        <w:t xml:space="preserve">Asumpții model: </w:t>
      </w:r>
      <w:r>
        <w:rPr>
          <w:rFonts w:ascii="Arial" w:cs="Arial" w:eastAsia="Arial" w:hAnsi="Arial"/>
          <w:sz w:val="20"/>
          <w:szCs w:val="20"/>
        </w:rPr>
        <w:t xml:space="preserve">Brent mediu 12 luni: 85 USD/bbl. TTF mediu 12 luni: 50 EUR/MWh. TTF Neptun Deep LT: 35 EUR/MWh. WACC: 9,5% (primă de risc mai mare). Risc fiscal: ridicat (windfall tax probabil).</w:t>
      </w:r>
    </w:p>
    <w:p>
      <w:pPr>
        <w:pStyle w:val="Heading2"/>
        <w:spacing w:before="240" w:after="160"/>
      </w:pPr>
      <w:r>
        <w:rPr>
          <w:rFonts w:ascii="Arial" w:cs="Arial" w:eastAsia="Arial" w:hAnsi="Arial"/>
          <w:b/>
          <w:bCs/>
          <w:color w:val="B22222"/>
          <w:sz w:val="24"/>
          <w:szCs w:val="24"/>
        </w:rPr>
        <w:t xml:space="preserve">Scenariul C: Escaladare / Război Prelungit (&gt;6 luni)</w:t>
      </w:r>
    </w:p>
    <w:p>
      <w:pPr>
        <w:spacing w:after="120"/>
      </w:pPr>
      <w:r>
        <w:rPr>
          <w:rFonts w:ascii="Arial" w:cs="Arial" w:eastAsia="Arial" w:hAnsi="Arial"/>
          <w:sz w:val="20"/>
          <w:szCs w:val="20"/>
        </w:rPr>
        <w:t xml:space="preserve">Conflictul se extinde. Hormuz blocat pe termen nedeterminat. Infrastructură petrolieră în Golf avariată. Petrol la 95–120+ USD/bbl. Gaz european la 60–80+ EUR/MWh. Recesiune severă globală dar cerere de energie inelastică pe termen scurt. Posibilă naționalizare parțială / intervenție masivă a statului în sectorul energetic.</w:t>
      </w:r>
    </w:p>
    <w:p>
      <w:pPr>
        <w:spacing w:after="120"/>
      </w:pPr>
      <w:r>
        <w:rPr>
          <w:rFonts w:ascii="Arial" w:cs="Arial" w:eastAsia="Arial" w:hAnsi="Arial"/>
          <w:b/>
          <w:bCs/>
          <w:sz w:val="20"/>
          <w:szCs w:val="20"/>
        </w:rPr>
        <w:t xml:space="preserve">Asumpții model: </w:t>
      </w:r>
      <w:r>
        <w:rPr>
          <w:rFonts w:ascii="Arial" w:cs="Arial" w:eastAsia="Arial" w:hAnsi="Arial"/>
          <w:sz w:val="20"/>
          <w:szCs w:val="20"/>
        </w:rPr>
        <w:t xml:space="preserve">Brent mediu 12 luni: 95+ USD/bbl. TTF mediu 12 luni: 65 EUR/MWh. TTF Neptun Deep LT: 45 EUR/MWh. WACC: 10% (risc sistemic). Windfall tax sever (~30–40% din profitul excepțional). Risc de control preț gaz intern.</w:t>
      </w:r>
    </w:p>
    <w:p>
      <w:r>
        <w:br w:type="page"/>
      </w:r>
    </w:p>
    <w:p>
      <w:pPr>
        <w:pStyle w:val="Heading1"/>
        <w:spacing w:before="300" w:after="200"/>
      </w:pPr>
      <w:r>
        <w:rPr>
          <w:rFonts w:ascii="Arial" w:cs="Arial" w:eastAsia="Arial" w:hAnsi="Arial"/>
          <w:b/>
          <w:bCs/>
          <w:color w:val="8B0000"/>
          <w:sz w:val="28"/>
          <w:szCs w:val="28"/>
        </w:rPr>
        <w:t xml:space="preserve">III. Metoda 1: SOTP / NAV (35%)</w:t>
      </w:r>
    </w:p>
    <w:p>
      <w:pPr>
        <w:spacing w:after="120"/>
      </w:pPr>
      <w:r>
        <w:rPr>
          <w:rFonts w:ascii="Arial" w:cs="Arial" w:eastAsia="Arial" w:hAnsi="Arial"/>
          <w:sz w:val="20"/>
          <w:szCs w:val="20"/>
        </w:rPr>
        <w:t xml:space="preserve">Actualizat cu cele 3 scenarii. Principala diferență vs evaluarea pre-război: NPV Neptun Deep crește semnificativ datorită prețului gazului mai mare și primei de securitate energetică.</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50"/>
        <w:gridCol w:w="2050"/>
        <w:gridCol w:w="2060"/>
      </w:tblGrid>
      <w:tr>
        <w:tc>
          <w:tcPr>
            <w:tcW w:type="dxa" w:w="320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Segment (mld RON)</w:t>
            </w:r>
          </w:p>
        </w:tc>
        <w:tc>
          <w:tcPr>
            <w:tcW w:type="dxa" w:w="2050"/>
            <w:tcBorders>
              <w:top w:val="single" w:color="2E8B57" w:sz="1"/>
              <w:left w:val="single" w:color="2E8B57" w:sz="1"/>
              <w:bottom w:val="single" w:color="2E8B57" w:sz="1"/>
              <w:right w:val="single" w:color="2E8B57" w:sz="1"/>
            </w:tcBorders>
            <w:shd w:fill="2E8B57"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A</w:t>
            </w:r>
          </w:p>
        </w:tc>
        <w:tc>
          <w:tcPr>
            <w:tcW w:type="dxa" w:w="2050"/>
            <w:tcBorders>
              <w:top w:val="single" w:color="B8860B" w:sz="1"/>
              <w:left w:val="single" w:color="B8860B" w:sz="1"/>
              <w:bottom w:val="single" w:color="B8860B" w:sz="1"/>
              <w:right w:val="single" w:color="B8860B" w:sz="1"/>
            </w:tcBorders>
            <w:shd w:fill="B8860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B</w:t>
            </w:r>
          </w:p>
        </w:tc>
        <w:tc>
          <w:tcPr>
            <w:tcW w:type="dxa" w:w="206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C</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E&amp;P Onshore</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15</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18</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20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Neptun Deep 50%</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17</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24</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32</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Rafinare &amp; Marketing</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15</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17</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18</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Gaze &amp; Energie</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6</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8</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10</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Numerar net</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7,5</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7,5</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7,5</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Corporate/overhead</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Windfall tax (PV)</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−6</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−10</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TOTAL NAV (mld RON)</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56,5</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66,5</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75,5</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Per acțiune (RON)</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2E8B57"/>
                <w:sz w:val="18"/>
                <w:szCs w:val="18"/>
              </w:rPr>
              <w:t xml:space="preserve">0,91</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B8860B"/>
                <w:sz w:val="18"/>
                <w:szCs w:val="18"/>
              </w:rPr>
              <w:t xml:space="preserve">1,07</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8B0000"/>
                <w:sz w:val="18"/>
                <w:szCs w:val="18"/>
              </w:rPr>
              <w:t xml:space="preserve">1,21</w:t>
            </w:r>
          </w:p>
        </w:tc>
      </w:tr>
    </w:tbl>
    <w:p>
      <w:pPr>
        <w:spacing w:after="120"/>
      </w:pPr>
      <w:r>
        <w:rPr>
          <w:rFonts w:ascii="Arial" w:cs="Arial" w:eastAsia="Arial" w:hAnsi="Arial"/>
          <w:sz w:val="20"/>
          <w:szCs w:val="20"/>
        </w:rPr>
        <w:t xml:space="preserve">Nota: Neptun Deep devine 36–42% din NAV total (vs 29% pre-război). Windfall tax inclus ca ajustare negativă explicită.</w:t>
      </w:r>
    </w:p>
    <w:p>
      <w:r>
        <w:br w:type="page"/>
      </w:r>
    </w:p>
    <w:p>
      <w:pPr>
        <w:pStyle w:val="Heading1"/>
        <w:spacing w:before="300" w:after="200"/>
      </w:pPr>
      <w:r>
        <w:rPr>
          <w:rFonts w:ascii="Arial" w:cs="Arial" w:eastAsia="Arial" w:hAnsi="Arial"/>
          <w:b/>
          <w:bCs/>
          <w:color w:val="8B0000"/>
          <w:sz w:val="28"/>
          <w:szCs w:val="28"/>
        </w:rPr>
        <w:t xml:space="preserve">IV. Metoda 2: DCF — FCFF (30%)</w:t>
      </w:r>
    </w:p>
    <w:p>
      <w:pPr>
        <w:spacing w:after="120"/>
      </w:pPr>
      <w:r>
        <w:rPr>
          <w:rFonts w:ascii="Arial" w:cs="Arial" w:eastAsia="Arial" w:hAnsi="Arial"/>
          <w:sz w:val="20"/>
          <w:szCs w:val="20"/>
        </w:rPr>
        <w:t xml:space="preserve">Model pe 10 ani cu 3 scenarii de preț. Principala diferență: EBITDA 2026–2028 cresc dramatic față de estimarea pre-război.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An</w:t>
            </w:r>
          </w:p>
        </w:tc>
        <w:tc>
          <w:tcPr>
            <w:tcW w:type="dxa" w:w="2340"/>
            <w:tcBorders>
              <w:top w:val="single" w:color="2E8B57" w:sz="1"/>
              <w:left w:val="single" w:color="2E8B57" w:sz="1"/>
              <w:bottom w:val="single" w:color="2E8B57" w:sz="1"/>
              <w:right w:val="single" w:color="2E8B57" w:sz="1"/>
            </w:tcBorders>
            <w:shd w:fill="2E8B57"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EBITDA A</w:t>
            </w:r>
          </w:p>
        </w:tc>
        <w:tc>
          <w:tcPr>
            <w:tcW w:type="dxa" w:w="2340"/>
            <w:tcBorders>
              <w:top w:val="single" w:color="B8860B" w:sz="1"/>
              <w:left w:val="single" w:color="B8860B" w:sz="1"/>
              <w:bottom w:val="single" w:color="B8860B" w:sz="1"/>
              <w:right w:val="single" w:color="B8860B" w:sz="1"/>
            </w:tcBorders>
            <w:shd w:fill="B8860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EBITDA B</w:t>
            </w:r>
          </w:p>
        </w:tc>
        <w:tc>
          <w:tcPr>
            <w:tcW w:type="dxa" w:w="234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EBITDA C</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2026</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9,0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11,5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14,0</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2027</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11,0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14,0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17,0</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2028</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12,5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14,5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16,0</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2029</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12,0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13,5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15,0</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2030+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12,0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13,0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14,0</w:t>
            </w:r>
          </w:p>
        </w:tc>
      </w:tr>
    </w:tbl>
    <w:p>
      <w:pPr>
        <w:spacing w:after="120"/>
      </w:pPr>
      <w:r>
        <w:rPr>
          <w:rFonts w:ascii="Arial" w:cs="Arial" w:eastAsia="Arial" w:hAnsi="Arial"/>
          <w:sz w:val="20"/>
          <w:szCs w:val="20"/>
        </w:rPr>
        <w:t xml:space="preserve">vs pre-război: EBITDA 2026 era estimat la 7,0 mld RON. Sc. B implică +64% față de estimarea anterioară.</w:t>
      </w:r>
    </w:p>
    <w:p>
      <w:pPr>
        <w:spacing w:after="80"/>
      </w:pPr>
    </w:p>
    <w:p>
      <w:pPr>
        <w:spacing w:after="120"/>
      </w:pPr>
      <w:r>
        <w:rPr>
          <w:rFonts w:ascii="Arial" w:cs="Arial" w:eastAsia="Arial" w:hAnsi="Arial"/>
          <w:sz w:val="20"/>
          <w:szCs w:val="20"/>
        </w:rPr>
        <w:t xml:space="preserve">Calcul DCF (scenariu B — conflict prelungit): CAPEX 2026 rămâne ~9 mld RON, dar cash flow-urile mai mari compensează. FCFF 2026: 2,5 mld (vs −3,0 pre-război). FCFF 2027: 6,5 mld. FCFF platou 2028+: ~8–9 mld. Terminal value (FCFF 8,5 mld / (9,5%−1%) = 100 mld). PV total: ~79 mld RON. + cash net 7,5 mld − windfall tax PV 6 mld = 80,5 mld RON.</w:t>
      </w:r>
    </w:p>
    <w:p>
      <w:pPr>
        <w:spacing w:after="120"/>
      </w:pPr>
      <w:r>
        <w:rPr>
          <w:rFonts w:ascii="Arial" w:cs="Arial" w:eastAsia="Arial" w:hAnsi="Arial"/>
          <w:b/>
          <w:bCs/>
          <w:sz w:val="20"/>
          <w:szCs w:val="20"/>
        </w:rPr>
        <w:t xml:space="preserve">Preț DCF: </w:t>
      </w:r>
      <w:r>
        <w:rPr>
          <w:rFonts w:ascii="Arial" w:cs="Arial" w:eastAsia="Arial" w:hAnsi="Arial"/>
          <w:sz w:val="20"/>
          <w:szCs w:val="20"/>
        </w:rPr>
        <w:t xml:space="preserve">Sc. A: 1,10 RON | Sc. B: 1,29 RON | Sc. C: 1,62 RON</w:t>
      </w:r>
    </w:p>
    <w:p>
      <w:pPr>
        <w:spacing w:after="120"/>
      </w:pPr>
      <w:r>
        <w:rPr>
          <w:rFonts w:ascii="Arial" w:cs="Arial" w:eastAsia="Arial" w:hAnsi="Arial"/>
          <w:sz w:val="20"/>
          <w:szCs w:val="20"/>
        </w:rPr>
        <w:t xml:space="preserve">Nota: Sensibilitate extremă la durată criză și la nivelul windfall tax. Fiecare 10% windfall tax ≈ −0,06 RON per acțiune.</w:t>
      </w:r>
    </w:p>
    <w:p>
      <w:r>
        <w:br w:type="page"/>
      </w:r>
    </w:p>
    <w:p>
      <w:pPr>
        <w:pStyle w:val="Heading1"/>
        <w:spacing w:before="300" w:after="200"/>
      </w:pPr>
      <w:r>
        <w:rPr>
          <w:rFonts w:ascii="Arial" w:cs="Arial" w:eastAsia="Arial" w:hAnsi="Arial"/>
          <w:b/>
          <w:bCs/>
          <w:color w:val="8B0000"/>
          <w:sz w:val="28"/>
          <w:szCs w:val="28"/>
        </w:rPr>
        <w:t xml:space="preserve">V. Metoda 3: EV/EBITDA vs Peers (20%)</w:t>
      </w:r>
    </w:p>
    <w:p>
      <w:pPr>
        <w:spacing w:after="120"/>
      </w:pPr>
      <w:r>
        <w:rPr>
          <w:rFonts w:ascii="Arial" w:cs="Arial" w:eastAsia="Arial" w:hAnsi="Arial"/>
          <w:sz w:val="20"/>
          <w:szCs w:val="20"/>
        </w:rPr>
        <w:t xml:space="preserve">În condiții de criză energetică, multiplii sectorului energie cresc. În 2022 (criza gazului după invazia Ucrainei), companiile integrate O&amp;G au tranzacționat la 5–7x EV/EBITDA. SNP, cu Neptun Deep și producție internă (nu depende de import), merită primă suplimentară.</w:t>
      </w:r>
    </w:p>
    <w:p>
      <w:pPr>
        <w:spacing w:after="120"/>
      </w:pPr>
      <w:r>
        <w:rPr>
          <w:rFonts w:ascii="Arial" w:cs="Arial" w:eastAsia="Arial" w:hAnsi="Arial"/>
          <w:sz w:val="20"/>
          <w:szCs w:val="20"/>
        </w:rPr>
        <w:t xml:space="preserve">EBITDA 2027E (primul an cu Neptun Deep): Sc. A: 11 mld | Sc. B: 14 mld | Sc. C: 17 mld.</w:t>
      </w:r>
    </w:p>
    <w:p>
      <w:pPr>
        <w:spacing w:after="120"/>
      </w:pPr>
      <w:r>
        <w:rPr>
          <w:rFonts w:ascii="Arial" w:cs="Arial" w:eastAsia="Arial" w:hAnsi="Arial"/>
          <w:sz w:val="20"/>
          <w:szCs w:val="20"/>
        </w:rPr>
        <w:t xml:space="preserve">Multiplu aplicat: 4,5x (Sc. A, conservator) | 5,0x (Sc. B) | 5,5x (Sc. C, cu primă securitate).</w:t>
      </w:r>
    </w:p>
    <w:p>
      <w:pPr>
        <w:spacing w:after="120"/>
      </w:pPr>
      <w:r>
        <w:rPr>
          <w:rFonts w:ascii="Arial" w:cs="Arial" w:eastAsia="Arial" w:hAnsi="Arial"/>
          <w:sz w:val="20"/>
          <w:szCs w:val="20"/>
        </w:rPr>
        <w:t xml:space="preserve">EV rezultat: Sc. A: 49,5 mld | Sc. B: 70 mld | Sc. C: 93,5 mld. PV (disc. 1 an): Sc. A: 45,4 mld | Sc. B: 63,9 mld | Sc. C: 85 mld. Equity = EV + cash net 7,5 mld − windfall: Sc. A: 50,9 | Sc. B: 65,4 | Sc. C: 80,5.</w:t>
      </w:r>
    </w:p>
    <w:p>
      <w:pPr>
        <w:spacing w:after="120"/>
      </w:pPr>
      <w:r>
        <w:rPr>
          <w:rFonts w:ascii="Arial" w:cs="Arial" w:eastAsia="Arial" w:hAnsi="Arial"/>
          <w:b/>
          <w:bCs/>
          <w:sz w:val="20"/>
          <w:szCs w:val="20"/>
        </w:rPr>
        <w:t xml:space="preserve">Preț multipli: </w:t>
      </w:r>
      <w:r>
        <w:rPr>
          <w:rFonts w:ascii="Arial" w:cs="Arial" w:eastAsia="Arial" w:hAnsi="Arial"/>
          <w:sz w:val="20"/>
          <w:szCs w:val="20"/>
        </w:rPr>
        <w:t xml:space="preserve">Sc. A: 0,82 RON | Sc. B: 1,05 RON | Sc. C: 1,29 RON</w:t>
      </w:r>
    </w:p>
    <w:p>
      <w:r>
        <w:br w:type="page"/>
      </w:r>
    </w:p>
    <w:p>
      <w:pPr>
        <w:pStyle w:val="Heading1"/>
        <w:spacing w:before="300" w:after="200"/>
      </w:pPr>
      <w:r>
        <w:rPr>
          <w:rFonts w:ascii="Arial" w:cs="Arial" w:eastAsia="Arial" w:hAnsi="Arial"/>
          <w:b/>
          <w:bCs/>
          <w:color w:val="8B0000"/>
          <w:sz w:val="28"/>
          <w:szCs w:val="28"/>
        </w:rPr>
        <w:t xml:space="preserve">VI. Metoda 4: DDM / FCFE (15%)</w:t>
      </w:r>
    </w:p>
    <w:p>
      <w:pPr>
        <w:spacing w:after="120"/>
      </w:pPr>
      <w:r>
        <w:rPr>
          <w:rFonts w:ascii="Arial" w:cs="Arial" w:eastAsia="Arial" w:hAnsi="Arial"/>
          <w:sz w:val="20"/>
          <w:szCs w:val="20"/>
        </w:rPr>
        <w:t xml:space="preserve">Cash flow-uri mult mai mari → dividende speciale generoase, mai ales din 2027 (Neptun Deep + prețuri ridicate).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An</w:t>
            </w:r>
          </w:p>
        </w:tc>
        <w:tc>
          <w:tcPr>
            <w:tcW w:type="dxa" w:w="2340"/>
            <w:tcBorders>
              <w:top w:val="single" w:color="2E8B57" w:sz="1"/>
              <w:left w:val="single" w:color="2E8B57" w:sz="1"/>
              <w:bottom w:val="single" w:color="2E8B57" w:sz="1"/>
              <w:right w:val="single" w:color="2E8B57" w:sz="1"/>
            </w:tcBorders>
            <w:shd w:fill="2E8B57"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DPS Sc. A</w:t>
            </w:r>
          </w:p>
        </w:tc>
        <w:tc>
          <w:tcPr>
            <w:tcW w:type="dxa" w:w="2340"/>
            <w:tcBorders>
              <w:top w:val="single" w:color="B8860B" w:sz="1"/>
              <w:left w:val="single" w:color="B8860B" w:sz="1"/>
              <w:bottom w:val="single" w:color="B8860B" w:sz="1"/>
              <w:right w:val="single" w:color="B8860B" w:sz="1"/>
            </w:tcBorders>
            <w:shd w:fill="B8860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DPS Sc. B</w:t>
            </w:r>
          </w:p>
        </w:tc>
        <w:tc>
          <w:tcPr>
            <w:tcW w:type="dxa" w:w="234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DPS Sc. C</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2026E</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0,055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0,065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0,075</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2027E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0,075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0,095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0,110</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2028E</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0,085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0,110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0,130</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sz w:val="18"/>
                <w:szCs w:val="18"/>
              </w:rPr>
              <w:t xml:space="preserve">2029E</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0,090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0,115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0,135</w:t>
            </w:r>
          </w:p>
        </w:tc>
      </w:tr>
      <w:tr>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sz w:val="18"/>
                <w:szCs w:val="18"/>
              </w:rPr>
              <w:t xml:space="preserve">2030E+</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0,095</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0,120</w:t>
            </w:r>
          </w:p>
        </w:tc>
        <w:tc>
          <w:tcPr>
            <w:tcW w:type="dxa" w:w="234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0,140</w:t>
            </w:r>
          </w:p>
        </w:tc>
      </w:tr>
    </w:tbl>
    <w:p>
      <w:pPr>
        <w:spacing w:after="120"/>
      </w:pPr>
      <w:r>
        <w:rPr>
          <w:rFonts w:ascii="Arial" w:cs="Arial" w:eastAsia="Arial" w:hAnsi="Arial"/>
          <w:sz w:val="20"/>
          <w:szCs w:val="20"/>
        </w:rPr>
        <w:t xml:space="preserve">Ke: Sc. A: 11,3% | Sc. B: 11,8% | Sc. C: 12,5%. Creștere terminală: 2%.</w:t>
      </w:r>
    </w:p>
    <w:p>
      <w:pPr>
        <w:spacing w:after="120"/>
      </w:pPr>
      <w:r>
        <w:rPr>
          <w:rFonts w:ascii="Arial" w:cs="Arial" w:eastAsia="Arial" w:hAnsi="Arial"/>
          <w:sz w:val="20"/>
          <w:szCs w:val="20"/>
        </w:rPr>
        <w:t xml:space="preserve">PV dividende Stadiu 1 + Terminală:</w:t>
      </w:r>
    </w:p>
    <w:p>
      <w:pPr>
        <w:spacing w:after="120"/>
      </w:pPr>
      <w:r>
        <w:rPr>
          <w:rFonts w:ascii="Arial" w:cs="Arial" w:eastAsia="Arial" w:hAnsi="Arial"/>
          <w:b/>
          <w:bCs/>
          <w:sz w:val="20"/>
          <w:szCs w:val="20"/>
        </w:rPr>
        <w:t xml:space="preserve">Preț DDM: </w:t>
      </w:r>
      <w:r>
        <w:rPr>
          <w:rFonts w:ascii="Arial" w:cs="Arial" w:eastAsia="Arial" w:hAnsi="Arial"/>
          <w:sz w:val="20"/>
          <w:szCs w:val="20"/>
        </w:rPr>
        <w:t xml:space="preserve">Sc. A: 1,03 RON | Sc. B: 1,31 RON | Sc. C: 1,48 RON</w:t>
      </w:r>
    </w:p>
    <w:p>
      <w:r>
        <w:br w:type="page"/>
      </w:r>
    </w:p>
    <w:p>
      <w:pPr>
        <w:pStyle w:val="Heading1"/>
        <w:spacing w:before="300" w:after="200"/>
      </w:pPr>
      <w:r>
        <w:rPr>
          <w:rFonts w:ascii="Arial" w:cs="Arial" w:eastAsia="Arial" w:hAnsi="Arial"/>
          <w:b/>
          <w:bCs/>
          <w:color w:val="8B0000"/>
          <w:sz w:val="28"/>
          <w:szCs w:val="28"/>
        </w:rPr>
        <w:t xml:space="preserve">VII. Triangulație Finală Actualizată</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50"/>
        <w:gridCol w:w="2050"/>
        <w:gridCol w:w="2060"/>
      </w:tblGrid>
      <w:tr>
        <w:tc>
          <w:tcPr>
            <w:tcW w:type="dxa" w:w="320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Metodă (pondere)</w:t>
            </w:r>
          </w:p>
        </w:tc>
        <w:tc>
          <w:tcPr>
            <w:tcW w:type="dxa" w:w="2050"/>
            <w:tcBorders>
              <w:top w:val="single" w:color="2E8B57" w:sz="1"/>
              <w:left w:val="single" w:color="2E8B57" w:sz="1"/>
              <w:bottom w:val="single" w:color="2E8B57" w:sz="1"/>
              <w:right w:val="single" w:color="2E8B57" w:sz="1"/>
            </w:tcBorders>
            <w:shd w:fill="2E8B57"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A</w:t>
            </w:r>
          </w:p>
        </w:tc>
        <w:tc>
          <w:tcPr>
            <w:tcW w:type="dxa" w:w="2050"/>
            <w:tcBorders>
              <w:top w:val="single" w:color="B8860B" w:sz="1"/>
              <w:left w:val="single" w:color="B8860B" w:sz="1"/>
              <w:bottom w:val="single" w:color="B8860B" w:sz="1"/>
              <w:right w:val="single" w:color="B8860B" w:sz="1"/>
            </w:tcBorders>
            <w:shd w:fill="B8860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B</w:t>
            </w:r>
          </w:p>
        </w:tc>
        <w:tc>
          <w:tcPr>
            <w:tcW w:type="dxa" w:w="206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Sc. C</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SOTP/NAV (35%)</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0,91</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1,07</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1,21</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DCF—FCFF (30%)</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1,10</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b/>
                <w:bCs/>
                <w:sz w:val="18"/>
                <w:szCs w:val="18"/>
              </w:rPr>
              <w:t xml:space="preserve">1,29</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1,62</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EV/EBITDA (20%)</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0,82</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sz w:val="18"/>
                <w:szCs w:val="18"/>
              </w:rPr>
              <w:t xml:space="preserve">1,05</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1,29</w:t>
            </w:r>
          </w:p>
        </w:tc>
      </w:tr>
      <w:tr>
        <w:tc>
          <w:tcPr>
            <w:tcW w:type="dxa" w:w="32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DDM/FCFE (15%)</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1,03</w:t>
            </w:r>
          </w:p>
        </w:tc>
        <w:tc>
          <w:tcPr>
            <w:tcW w:type="dxa" w:w="205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b/>
                <w:bCs/>
                <w:sz w:val="18"/>
                <w:szCs w:val="18"/>
              </w:rPr>
              <w:t xml:space="preserve">1,31</w:t>
            </w:r>
          </w:p>
        </w:tc>
        <w:tc>
          <w:tcPr>
            <w:tcW w:type="dxa" w:w="20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1,48</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PONDERAT (RON)</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2E8B57"/>
                <w:sz w:val="18"/>
                <w:szCs w:val="18"/>
              </w:rPr>
              <w:t xml:space="preserve">0,97</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B8860B"/>
                <w:sz w:val="18"/>
                <w:szCs w:val="18"/>
              </w:rPr>
              <w:t xml:space="preserve">1,17</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b/>
                <w:bCs/>
                <w:color w:val="8B0000"/>
                <w:sz w:val="18"/>
                <w:szCs w:val="18"/>
              </w:rPr>
              <w:t xml:space="preserve">1,39</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vs preț pre-război (0,97)</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+21%</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+43%</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vs evaluare pre-război (0,88)</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+10%</w:t>
            </w:r>
          </w:p>
        </w:tc>
        <w:tc>
          <w:tcPr>
            <w:tcW w:type="dxa" w:w="205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+33%</w:t>
            </w:r>
          </w:p>
        </w:tc>
        <w:tc>
          <w:tcPr>
            <w:tcW w:type="dxa" w:w="20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+58%</w:t>
            </w:r>
          </w:p>
        </w:tc>
      </w:tr>
    </w:tbl>
    <w:p>
      <w:pPr>
        <w:spacing w:after="80"/>
      </w:pPr>
    </w:p>
    <w:p>
      <w:pPr>
        <w:pStyle w:val="Heading2"/>
        <w:spacing w:before="240" w:after="160"/>
      </w:pPr>
      <w:r>
        <w:rPr>
          <w:rFonts w:ascii="Arial" w:cs="Arial" w:eastAsia="Arial" w:hAnsi="Arial"/>
          <w:b/>
          <w:bCs/>
          <w:color w:val="B22222"/>
          <w:sz w:val="24"/>
          <w:szCs w:val="24"/>
        </w:rPr>
        <w:t xml:space="preserve">7.1 Interpretare</w:t>
      </w:r>
    </w:p>
    <w:p>
      <w:pPr>
        <w:spacing w:after="120"/>
      </w:pPr>
      <w:r>
        <w:rPr>
          <w:rFonts w:ascii="Arial" w:cs="Arial" w:eastAsia="Arial" w:hAnsi="Arial"/>
          <w:sz w:val="20"/>
          <w:szCs w:val="20"/>
        </w:rPr>
        <w:t xml:space="preserve">1. În scenariul A (rezoluție rapidă), prețul curent de 0,97 RON coincide aproape perfect cu fair value. Piața era deja în linie cu o rezoluție rapidă — ce nu era pricetat era posibilitatea de conflict prelungit.</w:t>
      </w:r>
    </w:p>
    <w:p>
      <w:pPr>
        <w:spacing w:after="120"/>
      </w:pPr>
      <w:r>
        <w:rPr>
          <w:rFonts w:ascii="Arial" w:cs="Arial" w:eastAsia="Arial" w:hAnsi="Arial"/>
          <w:sz w:val="20"/>
          <w:szCs w:val="20"/>
        </w:rPr>
        <w:t xml:space="preserve">2. În scenariul B (conflict prelungit, cel mai probabil la 9 martie), fair value este ~1,17 RON, cu 21% peste prețul actual. Acest upside este semnificativ, dar este atenuat de riscul de windfall tax și de riscul sistemic pe piețe.</w:t>
      </w:r>
    </w:p>
    <w:p>
      <w:pPr>
        <w:spacing w:after="120"/>
      </w:pPr>
      <w:r>
        <w:rPr>
          <w:rFonts w:ascii="Arial" w:cs="Arial" w:eastAsia="Arial" w:hAnsi="Arial"/>
          <w:sz w:val="20"/>
          <w:szCs w:val="20"/>
        </w:rPr>
        <w:t xml:space="preserve">3. În scenariul C (escaladare), fair value depășește 1,39 RON, dar acest scenariu vine cu riscuri existențiale pentru economia globală care fac orice evaluare extrem de incertă.</w:t>
      </w:r>
    </w:p>
    <w:p>
      <w:pPr>
        <w:spacing w:after="120"/>
      </w:pPr>
      <w:r>
        <w:rPr>
          <w:rFonts w:ascii="Arial" w:cs="Arial" w:eastAsia="Arial" w:hAnsi="Arial"/>
          <w:sz w:val="20"/>
          <w:szCs w:val="20"/>
        </w:rPr>
        <w:t xml:space="preserve">4. Evaluarea pre-război (0,88 RON) este acum caducă în toate scenariile. Chiar și după o rezoluție rapidă, prima de securitate energetică va rămâne permanent mai mare — Europa a văzut că Hormuz-ul POATE fi blocat.</w:t>
      </w:r>
    </w:p>
    <w:p>
      <w:pPr>
        <w:pStyle w:val="Heading2"/>
        <w:spacing w:before="240" w:after="160"/>
      </w:pPr>
      <w:r>
        <w:rPr>
          <w:rFonts w:ascii="Arial" w:cs="Arial" w:eastAsia="Arial" w:hAnsi="Arial"/>
          <w:b/>
          <w:bCs/>
          <w:color w:val="B22222"/>
          <w:sz w:val="24"/>
          <w:szCs w:val="24"/>
        </w:rPr>
        <w:t xml:space="preserve">7.2 Riscuri Specifice Crizei</w:t>
      </w:r>
    </w:p>
    <w:p>
      <w:pPr>
        <w:spacing w:after="120"/>
      </w:pPr>
      <w:r>
        <w:rPr>
          <w:rFonts w:ascii="Arial" w:cs="Arial" w:eastAsia="Arial" w:hAnsi="Arial"/>
          <w:sz w:val="20"/>
          <w:szCs w:val="20"/>
        </w:rPr>
        <w:t xml:space="preserve">• WINDFALL TAX: Cel mai mare risc pentru acționari. Guvernul României a introdus deja IMCA + taxă construcții + royalties crescute. Într-o criză energetică, presiunea politică pentru suprataxare va fi enormă.</w:t>
      </w:r>
    </w:p>
    <w:p>
      <w:pPr>
        <w:spacing w:after="120"/>
      </w:pPr>
      <w:r>
        <w:rPr>
          <w:rFonts w:ascii="Arial" w:cs="Arial" w:eastAsia="Arial" w:hAnsi="Arial"/>
          <w:sz w:val="20"/>
          <w:szCs w:val="20"/>
        </w:rPr>
        <w:t xml:space="preserve">• PLAFON PREȚ GAZ: România a mai impus plafoane pe prețul gazului (2022–2025). Într-o criză poate reimplementa plafoane, limitând beneficiul prețurilor TTF ridicate pentru SNP.</w:t>
      </w:r>
    </w:p>
    <w:p>
      <w:pPr>
        <w:spacing w:after="120"/>
      </w:pPr>
      <w:r>
        <w:rPr>
          <w:rFonts w:ascii="Arial" w:cs="Arial" w:eastAsia="Arial" w:hAnsi="Arial"/>
          <w:sz w:val="20"/>
          <w:szCs w:val="20"/>
        </w:rPr>
        <w:t xml:space="preserve">• CRASH SISTEMIC: Dow futures −1,7% duminică seara. Dacă piețele globale intră în panică, BVB va fi afectată indiferent de fundamentele SNP. Lichiditatea pe BVB poate îngheța.</w:t>
      </w:r>
    </w:p>
    <w:p>
      <w:pPr>
        <w:spacing w:after="120"/>
      </w:pPr>
      <w:r>
        <w:rPr>
          <w:rFonts w:ascii="Arial" w:cs="Arial" w:eastAsia="Arial" w:hAnsi="Arial"/>
          <w:sz w:val="20"/>
          <w:szCs w:val="20"/>
        </w:rPr>
        <w:t xml:space="preserve">• NEPTUN DEEP SUPPLY CHAIN: Forajul offshore depinde de echipamente importate (Transocean, Saipem, Halliburton). Perturbări în lanțul de aprovizionare maritim global pot întârzia proiectul.</w:t>
      </w:r>
    </w:p>
    <w:p>
      <w:pPr>
        <w:spacing w:after="120"/>
      </w:pPr>
      <w:r>
        <w:rPr>
          <w:rFonts w:ascii="Arial" w:cs="Arial" w:eastAsia="Arial" w:hAnsi="Arial"/>
          <w:sz w:val="20"/>
          <w:szCs w:val="20"/>
        </w:rPr>
        <w:t xml:space="preserve">• CURS VALUTAR: Crize globale pot pune presiune pe RON. Un RON mai slab crește veniturile SNP (în măsura în care petrolul e denominat în USD), dar crește și costurile de import de echipamente.</w:t>
      </w:r>
    </w:p>
    <w:p>
      <w:pPr>
        <w:pStyle w:val="Heading2"/>
        <w:spacing w:before="240" w:after="160"/>
      </w:pPr>
      <w:r>
        <w:rPr>
          <w:rFonts w:ascii="Arial" w:cs="Arial" w:eastAsia="Arial" w:hAnsi="Arial"/>
          <w:b/>
          <w:bCs/>
          <w:color w:val="B22222"/>
          <w:sz w:val="24"/>
          <w:szCs w:val="24"/>
        </w:rPr>
        <w:t xml:space="preserve">7.3 Ce aș face în locul tău (cadru de decizie, NU recomandare)</w:t>
      </w:r>
    </w:p>
    <w:p>
      <w:pPr>
        <w:spacing w:after="120"/>
      </w:pPr>
      <w:r>
        <w:rPr>
          <w:rFonts w:ascii="Arial" w:cs="Arial" w:eastAsia="Arial" w:hAnsi="Arial"/>
          <w:sz w:val="20"/>
          <w:szCs w:val="20"/>
        </w:rPr>
        <w:t xml:space="preserve">Dacă deții deja SNP: poțiția beneficiază de criză. Nu este nevoie de acțiune imediată. Monitorizare zilnică a evolutției conflictului.</w:t>
      </w:r>
    </w:p>
    <w:p>
      <w:pPr>
        <w:spacing w:after="120"/>
      </w:pPr>
      <w:r>
        <w:rPr>
          <w:rFonts w:ascii="Arial" w:cs="Arial" w:eastAsia="Arial" w:hAnsi="Arial"/>
          <w:sz w:val="20"/>
          <w:szCs w:val="20"/>
        </w:rPr>
        <w:t xml:space="preserve">Dacă nu deții SNP și vrei expunere: riscul de intrare la deschidere luni (9 martie) este enorm — volatilitate extremă. BVB poate deschide cu gap up +5–10% și apoi corecta dacă piețele globale se prăbușesc. Alternativ, așteaptă câteva zile de stabilizare.</w:t>
      </w:r>
    </w:p>
    <w:p>
      <w:pPr>
        <w:spacing w:after="120"/>
      </w:pPr>
      <w:r>
        <w:rPr>
          <w:rFonts w:ascii="Arial" w:cs="Arial" w:eastAsia="Arial" w:hAnsi="Arial"/>
          <w:sz w:val="20"/>
          <w:szCs w:val="20"/>
        </w:rPr>
        <w:t xml:space="preserve">Hedging: Dacă portofoliul este concentrat în energie BVB (SNP + SNG + H2O), risc de corelare ridicat. Diversificare în obligațiuni guvernamentale sau aur ca hedge.</w:t>
      </w:r>
    </w:p>
    <w:p>
      <w:r>
        <w:br w:type="page"/>
      </w:r>
    </w:p>
    <w:p>
      <w:pPr>
        <w:pStyle w:val="Heading1"/>
        <w:spacing w:before="300" w:after="200"/>
      </w:pPr>
      <w:r>
        <w:rPr>
          <w:rFonts w:ascii="Arial" w:cs="Arial" w:eastAsia="Arial" w:hAnsi="Arial"/>
          <w:b/>
          <w:bCs/>
          <w:color w:val="8B0000"/>
          <w:sz w:val="28"/>
          <w:szCs w:val="28"/>
        </w:rPr>
        <w:t xml:space="preserve">VIII. Comparație: Pre-Război vs Post-Război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3100"/>
        <w:gridCol w:w="3160"/>
      </w:tblGrid>
      <w:tr>
        <w:tc>
          <w:tcPr>
            <w:tcW w:type="dxa" w:w="310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Parametru</w:t>
            </w:r>
          </w:p>
        </w:tc>
        <w:tc>
          <w:tcPr>
            <w:tcW w:type="dxa" w:w="3100"/>
            <w:tcBorders>
              <w:top w:val="single" w:color="1F4E79" w:sz="1"/>
              <w:left w:val="single" w:color="1F4E79" w:sz="1"/>
              <w:bottom w:val="single" w:color="1F4E79" w:sz="1"/>
              <w:right w:val="single" w:color="1F4E79" w:sz="1"/>
            </w:tcBorders>
            <w:shd w:fill="1F4E79"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Pre-război</w:t>
            </w:r>
          </w:p>
        </w:tc>
        <w:tc>
          <w:tcPr>
            <w:tcW w:type="dxa" w:w="3160"/>
            <w:tcBorders>
              <w:top w:val="single" w:color="8B0000" w:sz="1"/>
              <w:left w:val="single" w:color="8B0000" w:sz="1"/>
              <w:bottom w:val="single" w:color="8B0000" w:sz="1"/>
              <w:right w:val="single" w:color="8B0000" w:sz="1"/>
            </w:tcBorders>
            <w:shd w:fill="8B0000"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Post-război (Sc. B)</w:t>
            </w:r>
          </w:p>
        </w:tc>
      </w:tr>
      <w:tr>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Brent mid-cycle (12 luni)</w:t>
            </w:r>
          </w:p>
        </w:tc>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65 USD/bbl</w:t>
            </w:r>
          </w:p>
        </w:tc>
        <w:tc>
          <w:tcPr>
            <w:tcW w:type="dxa" w:w="31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85 USD/bbl</w:t>
            </w:r>
          </w:p>
        </w:tc>
      </w:tr>
      <w:tr>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TTF Neptun Deep (LT)</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25 EUR/MWh</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35 EUR/MWh</w:t>
            </w:r>
          </w:p>
        </w:tc>
      </w:tr>
      <w:tr>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EBITDA 2026E</w:t>
            </w:r>
          </w:p>
        </w:tc>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7,0 mld RON</w:t>
            </w:r>
          </w:p>
        </w:tc>
        <w:tc>
          <w:tcPr>
            <w:tcW w:type="dxa" w:w="31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11,5 mld RON</w:t>
            </w:r>
          </w:p>
        </w:tc>
      </w:tr>
      <w:tr>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EBITDA 2027E</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8,5 mld RON</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14,0 mld RON</w:t>
            </w:r>
          </w:p>
        </w:tc>
      </w:tr>
      <w:tr>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NPV Neptun Deep 50%</w:t>
            </w:r>
          </w:p>
        </w:tc>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15 mld RON</w:t>
            </w:r>
          </w:p>
        </w:tc>
        <w:tc>
          <w:tcPr>
            <w:tcW w:type="dxa" w:w="31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24 mld RON</w:t>
            </w:r>
          </w:p>
        </w:tc>
      </w:tr>
      <w:tr>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Windfall tax impact</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Minimal</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−6 mld RON PV</w:t>
            </w:r>
          </w:p>
        </w:tc>
      </w:tr>
      <w:tr>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NAV total</w:t>
            </w:r>
          </w:p>
        </w:tc>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52 mld RON</w:t>
            </w:r>
          </w:p>
        </w:tc>
        <w:tc>
          <w:tcPr>
            <w:tcW w:type="dxa" w:w="31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66,5 mld RON</w:t>
            </w:r>
          </w:p>
        </w:tc>
      </w:tr>
      <w:tr>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sz w:val="18"/>
                <w:szCs w:val="18"/>
              </w:rPr>
              <w:t xml:space="preserve">Preț țintă (ponderat)</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0,88 RON</w:t>
            </w: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center"/>
            </w:pPr>
            <w:r>
              <w:rPr>
                <w:rFonts w:ascii="Arial" w:cs="Arial" w:eastAsia="Arial" w:hAnsi="Arial"/>
                <w:sz w:val="18"/>
                <w:szCs w:val="18"/>
              </w:rPr>
              <w:t xml:space="preserve">1,17 RON</w:t>
            </w:r>
          </w:p>
        </w:tc>
      </w:tr>
      <w:tr>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left"/>
            </w:pPr>
            <w:r>
              <w:rPr>
                <w:rFonts w:ascii="Arial" w:cs="Arial" w:eastAsia="Arial" w:hAnsi="Arial"/>
                <w:b/>
                <w:bCs/>
                <w:sz w:val="18"/>
                <w:szCs w:val="18"/>
              </w:rPr>
              <w:t xml:space="preserve">vs preț piață (0,97)</w:t>
            </w:r>
          </w:p>
        </w:tc>
        <w:tc>
          <w:tcPr>
            <w:tcW w:type="dxa" w:w="310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−9%</w:t>
            </w:r>
          </w:p>
        </w:tc>
        <w:tc>
          <w:tcPr>
            <w:tcW w:type="dxa" w:w="3160"/>
            <w:tcBorders>
              <w:top w:val="single" w:color="CCCCCC" w:sz="1"/>
              <w:left w:val="single" w:color="CCCCCC" w:sz="1"/>
              <w:bottom w:val="single" w:color="CCCCCC" w:sz="1"/>
              <w:right w:val="single" w:color="CCCCCC" w:sz="1"/>
            </w:tcBorders>
            <w:shd w:fill="FFF0F0" w:val="clear"/>
            <w:tcMar>
              <w:top w:type="dxa" w:w="60"/>
              <w:left w:type="dxa" w:w="100"/>
              <w:bottom w:type="dxa" w:w="60"/>
              <w:right w:type="dxa" w:w="100"/>
            </w:tcMar>
          </w:tcPr>
          <w:p>
            <w:pPr>
              <w:jc w:val="center"/>
            </w:pPr>
            <w:r>
              <w:rPr>
                <w:rFonts w:ascii="Arial" w:cs="Arial" w:eastAsia="Arial" w:hAnsi="Arial"/>
                <w:sz w:val="18"/>
                <w:szCs w:val="18"/>
              </w:rPr>
              <w:t xml:space="preserve">+21%</w:t>
            </w:r>
          </w:p>
        </w:tc>
      </w:tr>
    </w:tbl>
    <w:p>
      <w:pPr>
        <w:spacing w:after="80"/>
      </w:pPr>
    </w:p>
    <w:p>
      <w:pPr>
        <w:pStyle w:val="Heading1"/>
        <w:spacing w:before="300" w:after="200"/>
      </w:pPr>
      <w:r>
        <w:rPr>
          <w:rFonts w:ascii="Arial" w:cs="Arial" w:eastAsia="Arial" w:hAnsi="Arial"/>
          <w:b/>
          <w:bCs/>
          <w:color w:val="8B0000"/>
          <w:sz w:val="28"/>
          <w:szCs w:val="28"/>
        </w:rPr>
        <w:t xml:space="preserve">IX. Disclaimer</w:t>
      </w:r>
    </w:p>
    <w:p>
      <w:pPr>
        <w:spacing w:after="120"/>
      </w:pPr>
      <w:r>
        <w:rPr>
          <w:rFonts w:ascii="Arial" w:cs="Arial" w:eastAsia="Arial" w:hAnsi="Arial"/>
          <w:sz w:val="20"/>
          <w:szCs w:val="20"/>
        </w:rPr>
        <w:t xml:space="preserve">1. Această evaluare reflectă un moment de incertitudine extremă. Scenariile pot evolua în ore/zile.</w:t>
      </w:r>
    </w:p>
    <w:p>
      <w:pPr>
        <w:spacing w:after="120"/>
      </w:pPr>
      <w:r>
        <w:rPr>
          <w:rFonts w:ascii="Arial" w:cs="Arial" w:eastAsia="Arial" w:hAnsi="Arial"/>
          <w:sz w:val="20"/>
          <w:szCs w:val="20"/>
        </w:rPr>
        <w:t xml:space="preserve">2. Prețurile spot de criză NU sunt prețuri mid-cycle. Dacă conflictul se rezolvă, re-pricing rapid.</w:t>
      </w:r>
    </w:p>
    <w:p>
      <w:pPr>
        <w:spacing w:after="120"/>
      </w:pPr>
      <w:r>
        <w:rPr>
          <w:rFonts w:ascii="Arial" w:cs="Arial" w:eastAsia="Arial" w:hAnsi="Arial"/>
          <w:sz w:val="20"/>
          <w:szCs w:val="20"/>
        </w:rPr>
        <w:t xml:space="preserve">3. Riscul de windfall tax este greu de cuantificat — depinde de durată și de amploarea profiturilor excepționale.</w:t>
      </w:r>
    </w:p>
    <w:p>
      <w:pPr>
        <w:spacing w:after="120"/>
      </w:pPr>
      <w:r>
        <w:rPr>
          <w:rFonts w:ascii="Arial" w:cs="Arial" w:eastAsia="Arial" w:hAnsi="Arial"/>
          <w:sz w:val="20"/>
          <w:szCs w:val="20"/>
        </w:rPr>
        <w:t xml:space="preserve">4. BVB poate fi suspendată/limitată în condiții de criză.</w:t>
      </w:r>
    </w:p>
    <w:p>
      <w:pPr>
        <w:spacing w:after="120"/>
      </w:pPr>
      <w:r>
        <w:rPr>
          <w:rFonts w:ascii="Arial" w:cs="Arial" w:eastAsia="Arial" w:hAnsi="Arial"/>
          <w:sz w:val="20"/>
          <w:szCs w:val="20"/>
        </w:rPr>
        <w:t xml:space="preserve">5. NU este recomandare de investiție. Deciziile de investiție în condiții de război necesită toleranță extrem de ridicată la risc.</w:t>
      </w:r>
    </w:p>
    <w:p>
      <w:pPr>
        <w:spacing w:after="80"/>
      </w:pPr>
    </w:p>
    <w:p>
      <w:pPr>
        <w:pBdr>
          <w:top w:val="single" w:color="8B0000" w:sz="4" w:space="8"/>
        </w:pBdr>
        <w:spacing w:before="200"/>
        <w:jc w:val="center"/>
      </w:pPr>
      <w:r>
        <w:rPr>
          <w:rFonts w:ascii="Arial" w:cs="Arial" w:eastAsia="Arial" w:hAnsi="Arial"/>
          <w:i/>
          <w:iCs/>
          <w:color w:val="999999"/>
          <w:sz w:val="18"/>
          <w:szCs w:val="18"/>
        </w:rPr>
        <w:t xml:space="preserve">— Sfârșit document actualizat —</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i/>
        <w:iCs/>
        <w:color w:val="999999"/>
        <w:sz w:val="14"/>
        <w:szCs w:val="14"/>
      </w:rPr>
      <w:t xml:space="preserve">Analiză independentă în condiții de criză — NU constituie recomandare de investiție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0000" w:sz="4" w:space="4"/>
      </w:pBdr>
      <w:jc w:val="right"/>
    </w:pPr>
    <w:r>
      <w:rPr>
        <w:rFonts w:ascii="Arial" w:cs="Arial" w:eastAsia="Arial" w:hAnsi="Arial"/>
        <w:i/>
        <w:iCs/>
        <w:color w:val="8B0000"/>
        <w:sz w:val="16"/>
        <w:szCs w:val="16"/>
      </w:rPr>
      <w:t xml:space="preserve">SNP — Evaluare ACTUALIZATĂ Post-Război Iran  |  09.03.2026  |  HORMUZ BLOCAT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8B0000"/>
      <w:sz w:val="28"/>
      <w:szCs w:val="28"/>
    </w:rPr>
  </w:style>
  <w:style w:type="paragraph" w:styleId="Heading2">
    <w:name w:val="Heading 2"/>
    <w:basedOn w:val="Normal"/>
    <w:next w:val="Normal"/>
    <w:qFormat/>
    <w:pPr>
      <w:spacing w:before="240" w:after="160"/>
      <w:outlineLvl w:val="1"/>
    </w:pPr>
    <w:rPr>
      <w:rFonts w:ascii="Arial" w:cs="Arial" w:eastAsia="Arial" w:hAnsi="Arial"/>
      <w:b/>
      <w:bCs/>
      <w:color w:val="B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2026-03-08T23:21:44.744Z</dcterms:created>
  <dcterms:modified xsi:type="dcterms:W3CDTF">2026-03-08T23:21:44.745Z</dcterms:modified>
</cp:coreProperties>
</file>

<file path=docProps/custom.xml><?xml version="1.0" encoding="utf-8"?>
<Properties xmlns="http://schemas.openxmlformats.org/officeDocument/2006/custom-properties" xmlns:vt="http://schemas.openxmlformats.org/officeDocument/2006/docPropsVTypes"/>
</file>